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563f" w14:textId="45e5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Единые ветеринарные (ветеринарно-санитарные) требования, предъявляемые к товарам, подлежащим ветеринарному контролю (надзору),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569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Единые ветеринарные (ветеринарно-санитарные)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товарам, подлежащим ветеринарному контролю</w:t>
      </w:r>
      <w:r>
        <w:br/>
      </w:r>
      <w:r>
        <w:rPr>
          <w:rFonts w:ascii="Times New Roman"/>
          <w:b/>
          <w:i w:val="false"/>
          <w:color w:val="000000"/>
        </w:rPr>
        <w:t>
(надзору), утвержденные Решением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июня 2010 года № 317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Единые ветеринарные (ветеринарно-санитарные) требования, предъявляемые к товарам, подлежащим ветеринарному контролю (надзору),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Изложить часть двенадцатую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 в следующей редакции: «Животные, ввозимые из третьих стран или перемещаемые между Сторонами карантинируются не менее 21 дня в стране отправителя и стране получателя, если иное не предусмотрено ветеринарными требованиями по конкретному виду животных. Необходимость, продолжительность и условия карантинирования определяются уполномоченным органом Стороны, на территорию которой планируется осуществить ввоз животных.».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, части шестой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, части восьмой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>, последней части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>, части шестой 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>, последней части 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>,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>, предпоследней части 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>, предпоследней части 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>, последней части 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>, последней части 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«по требованию» добавить слова «уполномоченного органа Стороны, на территорию которой осуществляется ввоз (перемещение)», слово «импортера»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Изложить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 «Животные, ввозимые на таможенную территорию Таможенного союза и (или) перемещаемые между Сторонами, не должны подвергаться воздействию натуральных или синтетических эстрогенных, гормональных веществ, тиреостатических препаратов, антибиотиков, пестицидов, а также лекарственных средств, введенных перед убоем позднее сроков, рекомендованных инструкциями по их применению.».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 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частью следующего содержания: «Животные, ввозимые на таможенную территорию Таможенного союза и (или) перемещаемые между Сторонами, не должны подвергаться воздействию натуральных или синтетических эстрогенных, гормональных веществ, тиреостатических препаратов, антибиотиков, пестицидов, а также лекарственных средств, введенных перед убоем позднее сроков, рекомендованных инструкциями по их применению.».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Изложить последнюю часть 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 «Допускается ввоз спортивных лошадей без карантинирования в сопровождении международного паспорта, который для целей настоящей главы приравнивается к ветеринарному сертификату, при условии наличия в нем отметки компетентного органа о проведении клинического осмотра в течении 5 дней перед отправкой. При ввозе спортивных лошадей из третьих стран переоформление международного паспорта в стране назначения на ветеринарный сопроводительный документ не требуется.».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изложить абзац седьмой в следующей редакции: «- лептоспироз, туберкулез, бруцеллез, сура – в течение последних 6 месяцев на территории хозяйства;»;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исключить последний абзац.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Изложить последнюю часть 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«Допускается ввоз собак и кошек, перевозимых для личного пользованияв количестве не более двух голов, без разрешения на ввоз и карантинирования в сопровождении международного паспорта, который в данном случае приравнивается к ветеринарному сертификату, при условии наличия в нем отметки компетентного органа о проведении клинического осмотра в течении пяти дней перед отправкой. При ввозе из третьих стран переоформление международного паспорта в стране назначения на ветеринарный сопроводительный документ не требуется.».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Дополнить </w:t>
      </w:r>
      <w:r>
        <w:rPr>
          <w:rFonts w:ascii="Times New Roman"/>
          <w:b w:val="false"/>
          <w:i w:val="false"/>
          <w:color w:val="000000"/>
          <w:sz w:val="28"/>
        </w:rPr>
        <w:t>главу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частью следующего содержания: «Необходимость и условия карантинирования цирковых животных определяются разрешением на ввоз, выданным уполномоченным органом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главах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слово «(Ciguatera)».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главах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«чума верблюдов».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