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b2c7" w14:textId="fc6b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г. № 566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Единый перечень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союза, утвержденный</w:t>
      </w:r>
      <w:r>
        <w:br/>
      </w:r>
      <w:r>
        <w:rPr>
          <w:rFonts w:ascii="Times New Roman"/>
          <w:b/>
          <w:i w:val="false"/>
          <w:color w:val="000000"/>
        </w:rPr>
        <w:t>
Решением Комиссии Таможенного союза от 28 мая 2010 года № 299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текста «02-05,» изложить в следующей редакции: «07-25, 27-29, 32-34, 35).»;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«товары бытовой химии» словами «лакокрасочные материалы», далее – по тексту;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слов «предназначенные для применения в строительстве» изложить в следующей редакции «Полимерные, синтетические и иные материалы,», далее – по тексту.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