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7518" w14:textId="8d17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бытовых и промышленных мясорубок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Мясорубки, напряжение питания которых составляет 380 В (вне зависимости от производительности), а также мясорубки производительностью не менее 2,5 кг/мин (150 кг/ч) мяса (вне зависимости от напряжения питания) считать промышленными и классифицировать в подсубпозиции 8438 50 000 0 единой Товарной номенклатуры внешнеэкономической деятельности Таможенного союза (далее – ТН ВЭД ТС) в соответствии с Основными правилами интерпретации ТН ВЭД ТС 1 и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Мясорубки, напряжение питания которых составляет 220/240 В, производительностью менее 2,5 кг/мин (150 кг/ч) мяса считать бытовыми и классифицировать в подсубпозиции 8509 40 000 0 ТН ВЭД ТС в соответствии с Основными правилами интерпретации ТН ВЭД ТС 1 и 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