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2e1" w14:textId="382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Комитете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552.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вопросам регулирования внешней торговли,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157,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«Как правило, протоколы подписываются всеми членами Комитета, присутствующими на заседании, после окончания заседания и в течение трех рабочих дней направляются для информации уполномоченным органам государств – членов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новым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Рекомендации Комитета по вопросам введения, пересмотра, отмены либо о неприменении специальной защитной, антидемпинговой или компенсационной меры оформляются Комитетом в срок, не противоречащий положениям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 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специальных защитных, антидемпинговых и компенсационных мер в течение переходного периода и действующих нормативно – правовых документов Комиссии Таможенного союза по вопросам применения специальных защитных, антидемпинговых и компенсационных мер на единой таможенной территории Таможенного союза, но не более 60 календарных дней.».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16.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