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2e1" w14:textId="382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Комитете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552.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вопросам регулирования внешней торговли,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157,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«Как правило, протоколы подписываются всеми членами Комитета, присутствующими на заседании, после окончания заседания и в течение трех рабочих дней направляются для информации уполномоченным органам государств – членов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новым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Рекомендации Комитета по вопросам введения, пересмотра, отмены либо о неприменении специальной защитной, антидемпинговой или компенсационной меры оформляются Комитетом в срок, не противоречащий положениям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 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применения специальных защитных, антидемпинговых и компенсационных мер в течение переходного периода и действующих нормативно – правовых документов Комиссии Таможенного союза по вопросам применения специальных защитных, антидемпинговых и компенсационных мер на единой таможенной территории Таможенного союза, но не более 60 календарных дней.».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16.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