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a7a1" w14:textId="1e2a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временно ввозимых с полным условным освобождением от уплаты таможенных пошлин, налогов, в отношении гражданских пассажирских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Перечня товаров, временно ввозимых с полным условным освобождением от уплаты таможенных пошлин, налогов,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331, и абзац 2 пункта 2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июля 2010 г. № 328 изложить в следующей редакции: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"Гражданские пассажирские самолеты, классифицируемые кодами единой Товарной номенклатуры внешнеэкономической деятельности Таможенного союза 8802 40 002 4 и 8802 40 002 5, за исключением воздушных судов с максимальным количеством посадочных мест, указанным в схеме размещения пассажиров (LOPA), одобренным уполномоченным органом, ответственным за поддержание летной годности воздушных судов, свыше 50 и менее 111 мест и свыше 170 и менее 219 мест, в случае заключения участниками внешнеэкономической деятельности государств-членов Таможенного союза договоров и помещения самолетов под таможенную процедуру временного ввоза (допуска) до 31 декабря 2013 года и на срок, превышающий указанную дату не более чем на 5 лет".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