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a7a1" w14:textId="1e2a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временно ввозимых с полным условным освобождением от уплаты таможенных пошлин, налогов, в отношении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Перечня товаров, временно ввозимых с полным условным освобождением от уплаты таможенных пошлин, налогов,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331, и абзац 2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июля 2010 г. № 328 изложить в следующей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"Гражданские пассажирские самолеты, классифицируемые кодами единой Товарной номенклатуры внешнеэкономической деятельности Таможенного союза 8802 40 002 4 и 8802 40 002 5, за исключением воздушных судов с максимальным количеством посадочных мест, указанным в схеме размещения пассажиров (LOPA), одобренным уполномоченным органом, ответственным за поддержание летной годности воздушных судов, свыше 50 и менее 111 мест и свыше 170 и менее 219 мест, в случае заключения участниками внешнеэкономической деятельности государств-членов Таможенного союза договоров и помещения самолетов под таможенную процедуру временного ввоза (допуска) до 31 декабря 2013 года и на срок, превышающий указанную дату не более чем на 5 лет".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