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0bf5" w14:textId="81c0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таможенный тариф Таможенного союза в отношении отдельных видов железнодорожных вагонов моторных и несамоходных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534.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Решению Комиссии Таможенного союза от 27 ноября 2009 г. № 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исключить из единой Товарной номенклатуры внешнеэкономической деятельности Таможенного союза (далее – ТН ВЭД ТС)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 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включить в ТН ВЭД ТС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 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 3</w:t>
      </w:r>
      <w:r>
        <w:rPr>
          <w:rFonts w:ascii="Times New Roman"/>
          <w:b w:val="false"/>
          <w:i w:val="false"/>
          <w:color w:val="000000"/>
          <w:sz w:val="28"/>
        </w:rPr>
        <w:t>, сроком на 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Поручить Секретариату Комиссии Таможенного союза подготовить проект решения Межгоссовета ЕврАзЭС (Высшего органа Таможенного союза) на уровне глав государств о внесении изменений в отношении товаров, указанных в Приложении № 3 к настоящему Решению, в Перечень чувствительных товаров, в отношении которых решение об изменении ставки ввозной таможенной пошлины Комиссия Таможенного союза принимает консенсусом (утвержден Решением Межгоссовета ЕврАзЭС (Высшего органа Таможенного союза) от 27 ноября 2009 года № 18) (далее – Перечень чувствительных товаров) и в Перечень товаров и ставок, в отношении которых в течение переходного периода одним из государств - членов Таможенного союза применяются ставки ввозных таможенных пошлин, отличные от ставок Единого таможенного тарифа Таможенного союза(утвержден Решением Межгоссовета ЕврАзЭС (Высшего органа Таможенного союза) от 27 ноября 2009 года № 18) (далее – Перечень товаров и ставок переходного периода).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указанных изменений в Перечень чувствительных товаров, Решения Комиссии Таможенного союза по изменению ставок ввозных таможенных пошлин в отношении товаров, указанных в Приложении № 3 к настоящему Решению, принимаются консенсусом.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указанных изменений в Перечень товаров и ставок переходного периода в отношении товаров, указанных в Приложении № 3 к настоящему Решению, Республикой Казахстан применяются ставки ввозных таможенных пошлин, установленные в Перечне товаров и ставок переходного периода в отношении товаров подсубпозиций 8603 10 000 9 и  8605 00 000 9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4362"/>
        <w:gridCol w:w="4362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 Шукеев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г. № 534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исключаемые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8"/>
        <w:gridCol w:w="4359"/>
        <w:gridCol w:w="4363"/>
      </w:tblGrid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9"/>
        <w:gridCol w:w="5849"/>
        <w:gridCol w:w="3932"/>
      </w:tblGrid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8603 10 000 9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8605 00 000 9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г. № 534      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8"/>
        <w:gridCol w:w="7217"/>
        <w:gridCol w:w="3245"/>
      </w:tblGrid>
      <w:tr>
        <w:trPr>
          <w:trHeight w:val="30" w:hRule="atLeast"/>
        </w:trPr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4"/>
        <w:gridCol w:w="7253"/>
        <w:gridCol w:w="3173"/>
      </w:tblGrid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8603 10 000 2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предназначенные для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электропоездов с максимальной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эксплуатационной скоростью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км/ч, но менее 250 км/ч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8603 10 000 8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предназначенные для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электропоездов с максимальной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эксплуатационной скоростью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км/ч, но менее 250 км/ч – прочие: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вагоны железнодорожные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пассажиров, оборудованные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спальными местами для пассажиров,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длиной по осям буферов 26400 мм,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шириной кузова (без гофр)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 мм, с расстоянием между осями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поворота тележек 19000 мм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" w:hRule="atLeast"/>
        </w:trPr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г. № 534    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8"/>
        <w:gridCol w:w="4358"/>
        <w:gridCol w:w="4364"/>
      </w:tblGrid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1"/>
        <w:gridCol w:w="9112"/>
        <w:gridCol w:w="1367"/>
      </w:tblGrid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8603 10 000 2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предназначенные для движения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электропоездов с максимальной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эксплуатационной скоростью не менее 140 км/ч,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250 км/ч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8603 10 000 8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8605 00 000 2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предназначенные для движения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железнодорожных электропоездов с максимальной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эксплуатационной скоростью не менее 140 км/ч,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250 км/ч – прочие: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вагоны железнодорожные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пассажиров, оборудованные спальными местами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пассажиров, с длиной по осям буферов 26400 мм,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наружной шириной кузова (без гофр) 2825 мм,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расстоянием между осями поворота тележек 19000 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8605 00 000 8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