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5f05" w14:textId="9b25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об организации обмена информацией для реализации аналитических и контрольных функций таможенных органов государств-членов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28 января 2011 года № 523. Утратило силу решением Коллегии Евразийской экономической комиссии от 20 ноября 2018 года № 186.</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к сведению информацию о доработке проекта </w:t>
      </w:r>
      <w:r>
        <w:rPr>
          <w:rFonts w:ascii="Times New Roman"/>
          <w:b w:val="false"/>
          <w:i w:val="false"/>
          <w:color w:val="000000"/>
          <w:sz w:val="28"/>
        </w:rPr>
        <w:t>Соглашения</w:t>
      </w:r>
      <w:r>
        <w:rPr>
          <w:rFonts w:ascii="Times New Roman"/>
          <w:b w:val="false"/>
          <w:i w:val="false"/>
          <w:color w:val="000000"/>
          <w:sz w:val="28"/>
        </w:rPr>
        <w:t xml:space="preserve"> об организации обмена информацией для реализации аналитических и контрольных функций таможенных органов государств-членов Таможенного союза (далее – Соглашение) с учетом замечаний и предложений Сторон, полученных по результатам внутригосударственного согласования.</w:t>
      </w:r>
    </w:p>
    <w:bookmarkEnd w:id="1"/>
    <w:bookmarkStart w:name="z3" w:id="2"/>
    <w:p>
      <w:pPr>
        <w:spacing w:after="0"/>
        <w:ind w:left="0"/>
        <w:jc w:val="both"/>
      </w:pPr>
      <w:r>
        <w:rPr>
          <w:rFonts w:ascii="Times New Roman"/>
          <w:b w:val="false"/>
          <w:i w:val="false"/>
          <w:color w:val="000000"/>
          <w:sz w:val="28"/>
        </w:rPr>
        <w:t>
      2. Просить Стороны до 21 февраля 2011 г. провести внутригосударственное согласование проекта Соглашения и о результатах информировать Секретариат Комиссии Таможенного союза.</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bookmarkEnd w:id="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28 января 2011 г. № 523</w:t>
            </w:r>
            <w:r>
              <w:br/>
            </w:r>
            <w:r>
              <w:rPr>
                <w:rFonts w:ascii="Times New Roman"/>
                <w:b w:val="false"/>
                <w:i w:val="false"/>
                <w:color w:val="000000"/>
                <w:sz w:val="20"/>
              </w:rPr>
              <w:t>Проект</w:t>
            </w:r>
          </w:p>
        </w:tc>
      </w:tr>
    </w:tbl>
    <w:bookmarkStart w:name="z7" w:id="4"/>
    <w:p>
      <w:pPr>
        <w:spacing w:after="0"/>
        <w:ind w:left="0"/>
        <w:jc w:val="left"/>
      </w:pPr>
      <w:r>
        <w:rPr>
          <w:rFonts w:ascii="Times New Roman"/>
          <w:b/>
          <w:i w:val="false"/>
          <w:color w:val="000000"/>
        </w:rPr>
        <w:t xml:space="preserve"> СОГЛАШЕНИЕ</w:t>
      </w:r>
      <w:r>
        <w:br/>
      </w:r>
      <w:r>
        <w:rPr>
          <w:rFonts w:ascii="Times New Roman"/>
          <w:b/>
          <w:i w:val="false"/>
          <w:color w:val="000000"/>
        </w:rPr>
        <w:t>ОБ ОРГАНИЗАЦИИ ОБМЕНА ИНФОРМАЦИЕЙ ДЛЯ РЕАЛИЗАЦИИ</w:t>
      </w:r>
      <w:r>
        <w:br/>
      </w:r>
      <w:r>
        <w:rPr>
          <w:rFonts w:ascii="Times New Roman"/>
          <w:b/>
          <w:i w:val="false"/>
          <w:color w:val="000000"/>
        </w:rPr>
        <w:t>АНАЛИТИЧЕСКИХ И КОНТРОЛЬНЫХ ФУНКЦИЙ ТАМОЖЕННЫХ</w:t>
      </w:r>
      <w:r>
        <w:br/>
      </w:r>
      <w:r>
        <w:rPr>
          <w:rFonts w:ascii="Times New Roman"/>
          <w:b/>
          <w:i w:val="false"/>
          <w:color w:val="000000"/>
        </w:rPr>
        <w:t>ОРГАНОВ ГОСУДАРСТВ - ЧЛЕНОВ ТАМОЖЕННОГО СОЮЗА</w:t>
      </w:r>
    </w:p>
    <w:bookmarkEnd w:id="4"/>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p>
    <w:p>
      <w:pPr>
        <w:spacing w:after="0"/>
        <w:ind w:left="0"/>
        <w:jc w:val="both"/>
      </w:pPr>
      <w:r>
        <w:rPr>
          <w:rFonts w:ascii="Times New Roman"/>
          <w:b w:val="false"/>
          <w:i w:val="false"/>
          <w:color w:val="000000"/>
          <w:sz w:val="28"/>
        </w:rPr>
        <w:t>
      руководствуясь статьей 124 Договора о Таможенном кодексе Таможенного союза от 27 ноября 2009 года (далее – Договор),</w:t>
      </w:r>
    </w:p>
    <w:p>
      <w:pPr>
        <w:spacing w:after="0"/>
        <w:ind w:left="0"/>
        <w:jc w:val="both"/>
      </w:pPr>
      <w:r>
        <w:rPr>
          <w:rFonts w:ascii="Times New Roman"/>
          <w:b w:val="false"/>
          <w:i w:val="false"/>
          <w:color w:val="000000"/>
          <w:sz w:val="28"/>
        </w:rPr>
        <w:t>
      стремясь наладить эффективное взаимодействие и координацию деятельности таможенных органов государств-членов Таможенного союза в обеспечении таможенного контроля за товарами и транспортными средствами, перемещаемыми через таможенную границу Таможенного союза,</w:t>
      </w:r>
    </w:p>
    <w:p>
      <w:pPr>
        <w:spacing w:after="0"/>
        <w:ind w:left="0"/>
        <w:jc w:val="both"/>
      </w:pPr>
      <w:r>
        <w:rPr>
          <w:rFonts w:ascii="Times New Roman"/>
          <w:b w:val="false"/>
          <w:i w:val="false"/>
          <w:color w:val="000000"/>
          <w:sz w:val="28"/>
        </w:rPr>
        <w:t>
      с целью обеспечения соблюдения таможенного законодательства Таможенного союза и законодательства государств – членов Таможенного союза, а также для предупреждения нарушений таможенного законодательства Таможенного союза и законодательства государств-членов Таможенного союза,</w:t>
      </w:r>
    </w:p>
    <w:p>
      <w:pPr>
        <w:spacing w:after="0"/>
        <w:ind w:left="0"/>
        <w:jc w:val="both"/>
      </w:pPr>
      <w:r>
        <w:rPr>
          <w:rFonts w:ascii="Times New Roman"/>
          <w:b w:val="false"/>
          <w:i w:val="false"/>
          <w:color w:val="000000"/>
          <w:sz w:val="28"/>
        </w:rPr>
        <w:t>
      признавая необходимость взаимного обмена информацией для реализации аналитических и контрольных функций таможенных органов государств – членов Таможенного союза,</w:t>
      </w:r>
    </w:p>
    <w:p>
      <w:pPr>
        <w:spacing w:after="0"/>
        <w:ind w:left="0"/>
        <w:jc w:val="both"/>
      </w:pPr>
      <w:r>
        <w:rPr>
          <w:rFonts w:ascii="Times New Roman"/>
          <w:b w:val="false"/>
          <w:i w:val="false"/>
          <w:color w:val="000000"/>
          <w:sz w:val="28"/>
        </w:rPr>
        <w:t>
      согласились о нижеследующем:</w:t>
      </w:r>
    </w:p>
    <w:bookmarkStart w:name="z8"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В настоящем Соглашении используются следующие термины:</w:t>
      </w:r>
    </w:p>
    <w:p>
      <w:pPr>
        <w:spacing w:after="0"/>
        <w:ind w:left="0"/>
        <w:jc w:val="both"/>
      </w:pPr>
      <w:r>
        <w:rPr>
          <w:rFonts w:ascii="Times New Roman"/>
          <w:b w:val="false"/>
          <w:i w:val="false"/>
          <w:color w:val="000000"/>
          <w:sz w:val="28"/>
        </w:rPr>
        <w:t>
      "Центральные таможенные органы государств – членов Таможенного союза" – Государственный таможенный комитет Республики Беларусь, Комитет таможенного контроля Министерства финансов Республики Казахстан, Федеральная таможенная служба (Российская Федерация);</w:t>
      </w:r>
    </w:p>
    <w:p>
      <w:pPr>
        <w:spacing w:after="0"/>
        <w:ind w:left="0"/>
        <w:jc w:val="both"/>
      </w:pPr>
      <w:r>
        <w:rPr>
          <w:rFonts w:ascii="Times New Roman"/>
          <w:b w:val="false"/>
          <w:i w:val="false"/>
          <w:color w:val="000000"/>
          <w:sz w:val="28"/>
        </w:rPr>
        <w:t>
      "Технические условия обмена информацией` для реализации аналитических и контрольных функций таможенных органов государств – членов Таможенного союза" – документ, который определяет структуру и формат сведений, которыми обмениваются Центральные таможенные органы государств-членов Таможенного союза, регламент обмена, сроки и  способы обмена, а также  лиц, ответственных за подготовку, передачу и получение информации (далее – Технические условия обмена информацией).</w:t>
      </w:r>
    </w:p>
    <w:bookmarkStart w:name="z9"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В рамках настоящего Соглашения Центральные таможенные органы государств – членов Таможенного союза предоставляют друг другу на регулярной основе в сроки, установленные Техническими условиями обмена информацией, предусмотренными статьей 4 настоящего Соглашения, следующую информацию, не относящуюся к сведениям, составляющим государственную тайну (государственные секреты):</w:t>
      </w:r>
    </w:p>
    <w:p>
      <w:pPr>
        <w:spacing w:after="0"/>
        <w:ind w:left="0"/>
        <w:jc w:val="both"/>
      </w:pPr>
      <w:r>
        <w:rPr>
          <w:rFonts w:ascii="Times New Roman"/>
          <w:b w:val="false"/>
          <w:i w:val="false"/>
          <w:color w:val="000000"/>
          <w:sz w:val="28"/>
        </w:rPr>
        <w:t>
      информацию из баз данных электронных копий деклараций на товары, оформленных таможенными органами государств-членов Таможенного союза с 01 января 2011 года, по согласованным позициям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информацию из баз данных электронных копий таможенных приходных ордеров, оформленных таможенными органами государств – членов Таможенного союза с 01 января 2011 года, по согласованным позициям (</w:t>
      </w:r>
      <w:r>
        <w:rPr>
          <w:rFonts w:ascii="Times New Roman"/>
          <w:b w:val="false"/>
          <w:i w:val="false"/>
          <w:color w:val="000000"/>
          <w:sz w:val="28"/>
        </w:rPr>
        <w:t>Приложение 2</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информацию из баз данных электронных копий предварительных решений, принимаемых таможенными органами государств-членов Таможенного союза с 01 января 2011 года, по согласованным позициям (</w:t>
      </w:r>
      <w:r>
        <w:rPr>
          <w:rFonts w:ascii="Times New Roman"/>
          <w:b w:val="false"/>
          <w:i w:val="false"/>
          <w:color w:val="000000"/>
          <w:sz w:val="28"/>
        </w:rPr>
        <w:t>Приложение 3</w:t>
      </w:r>
      <w:r>
        <w:rPr>
          <w:rFonts w:ascii="Times New Roman"/>
          <w:b w:val="false"/>
          <w:i w:val="false"/>
          <w:color w:val="000000"/>
          <w:sz w:val="28"/>
        </w:rPr>
        <w:t xml:space="preserve"> к настоящему Соглашению).</w:t>
      </w:r>
    </w:p>
    <w:bookmarkStart w:name="z10"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Предоставление информации осуществляется в электронном виде на уровне Центральных таможенных органов государств – членов Таможенного союза.</w:t>
      </w:r>
    </w:p>
    <w:p>
      <w:pPr>
        <w:spacing w:after="0"/>
        <w:ind w:left="0"/>
        <w:jc w:val="both"/>
      </w:pPr>
      <w:r>
        <w:rPr>
          <w:rFonts w:ascii="Times New Roman"/>
          <w:b w:val="false"/>
          <w:i w:val="false"/>
          <w:color w:val="000000"/>
          <w:sz w:val="28"/>
        </w:rPr>
        <w:t>
      Информация предоставляется на русском языке. По отдельным позициям информации, перечисленной в статье 2 настоящего Соглашения, допускается использование латинского алфавита.</w:t>
      </w:r>
    </w:p>
    <w:p>
      <w:pPr>
        <w:spacing w:after="0"/>
        <w:ind w:left="0"/>
        <w:jc w:val="both"/>
      </w:pPr>
      <w:r>
        <w:rPr>
          <w:rFonts w:ascii="Times New Roman"/>
          <w:b w:val="false"/>
          <w:i w:val="false"/>
          <w:color w:val="000000"/>
          <w:sz w:val="28"/>
        </w:rPr>
        <w:t>
      Информационный обмен осуществляется на безвозмездной основе.</w:t>
      </w:r>
    </w:p>
    <w:bookmarkStart w:name="z11"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Для реализации положений статьи 2 настоящего Соглашения Центральные таможенные органы государств – членов Таможенного союза разрабатывают и утверждают Технические условия обмена информацией.</w:t>
      </w:r>
    </w:p>
    <w:p>
      <w:pPr>
        <w:spacing w:after="0"/>
        <w:ind w:left="0"/>
        <w:jc w:val="both"/>
      </w:pPr>
      <w:r>
        <w:rPr>
          <w:rFonts w:ascii="Times New Roman"/>
          <w:b w:val="false"/>
          <w:i w:val="false"/>
          <w:color w:val="000000"/>
          <w:sz w:val="28"/>
        </w:rPr>
        <w:t>
      Обмен информацией в электронном виде осуществляется между Центральными таможенными органами после обеспечения их технической готовности, о чем Центральные таможенные органы государств – членов Таможенного союза письменно уведомляют друг друга.</w:t>
      </w:r>
    </w:p>
    <w:p>
      <w:pPr>
        <w:spacing w:after="0"/>
        <w:ind w:left="0"/>
        <w:jc w:val="both"/>
      </w:pPr>
      <w:r>
        <w:rPr>
          <w:rFonts w:ascii="Times New Roman"/>
          <w:b w:val="false"/>
          <w:i w:val="false"/>
          <w:color w:val="000000"/>
          <w:sz w:val="28"/>
        </w:rPr>
        <w:t>
      Изменения и дополнения в Технические условия обмена информацией могут быть внесены по согласованному решению Центральных таможенных органов государств – членов Таможенного союза.</w:t>
      </w:r>
    </w:p>
    <w:bookmarkStart w:name="z12"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Стороны используют информацию, полученную в соответствии с настоящим Соглашением, исключительно в целях настоящего Соглашения.</w:t>
      </w:r>
    </w:p>
    <w:p>
      <w:pPr>
        <w:spacing w:after="0"/>
        <w:ind w:left="0"/>
        <w:jc w:val="both"/>
      </w:pPr>
      <w:r>
        <w:rPr>
          <w:rFonts w:ascii="Times New Roman"/>
          <w:b w:val="false"/>
          <w:i w:val="false"/>
          <w:color w:val="000000"/>
          <w:sz w:val="28"/>
        </w:rPr>
        <w:t>
      Каждая Сторона принимает необходимые меры по защите от неправомерного распространения информации, предоставляемой ей другой Стороной, в соответствии с настоящим Соглашением.</w:t>
      </w:r>
    </w:p>
    <w:p>
      <w:pPr>
        <w:spacing w:after="0"/>
        <w:ind w:left="0"/>
        <w:jc w:val="both"/>
      </w:pPr>
      <w:r>
        <w:rPr>
          <w:rFonts w:ascii="Times New Roman"/>
          <w:b w:val="false"/>
          <w:i w:val="false"/>
          <w:color w:val="000000"/>
          <w:sz w:val="28"/>
        </w:rPr>
        <w:t>
      Стороны обеспечивают ограничение круга лиц, имеющих доступ к информации, получаемой в результате взаимного обмена, а также ее защиту.</w:t>
      </w:r>
    </w:p>
    <w:p>
      <w:pPr>
        <w:spacing w:after="0"/>
        <w:ind w:left="0"/>
        <w:jc w:val="both"/>
      </w:pPr>
      <w:r>
        <w:rPr>
          <w:rFonts w:ascii="Times New Roman"/>
          <w:b w:val="false"/>
          <w:i w:val="false"/>
          <w:color w:val="000000"/>
          <w:sz w:val="28"/>
        </w:rPr>
        <w:t>
      Информация, полученная в рамках настоящего Соглашения, не подлежит передаче третьим лицам без письменного согласия Стороны, представившей такую информацию.</w:t>
      </w:r>
    </w:p>
    <w:bookmarkStart w:name="z13"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Переписка по вопросам реализации положений настоящего Соглашения ведется на русском языке.</w:t>
      </w:r>
    </w:p>
    <w:p>
      <w:pPr>
        <w:spacing w:after="0"/>
        <w:ind w:left="0"/>
        <w:jc w:val="both"/>
      </w:pPr>
      <w:r>
        <w:rPr>
          <w:rFonts w:ascii="Times New Roman"/>
          <w:b w:val="false"/>
          <w:i w:val="false"/>
          <w:color w:val="000000"/>
          <w:sz w:val="28"/>
        </w:rPr>
        <w:t>
      Центральные таможенные органы государств – членов Таможенного союза могут взаимодействовать при выполнении возложенных на них задач, в том числе путем создания совместных рабочих групп.</w:t>
      </w:r>
    </w:p>
    <w:p>
      <w:pPr>
        <w:spacing w:after="0"/>
        <w:ind w:left="0"/>
        <w:jc w:val="both"/>
      </w:pPr>
      <w:r>
        <w:rPr>
          <w:rFonts w:ascii="Times New Roman"/>
          <w:b w:val="false"/>
          <w:i w:val="false"/>
          <w:color w:val="000000"/>
          <w:sz w:val="28"/>
        </w:rPr>
        <w:t>
      Центральные таможенные органы государств – членов Таможенного союза могут вырабатывать и реализовывать совместные технологические и интеграционные решения, направленные на обмен информацией и ее защиту.</w:t>
      </w:r>
    </w:p>
    <w:bookmarkStart w:name="z14" w:id="11"/>
    <w:p>
      <w:pPr>
        <w:spacing w:after="0"/>
        <w:ind w:left="0"/>
        <w:jc w:val="left"/>
      </w:pPr>
      <w:r>
        <w:rPr>
          <w:rFonts w:ascii="Times New Roman"/>
          <w:b/>
          <w:i w:val="false"/>
          <w:color w:val="000000"/>
        </w:rPr>
        <w:t xml:space="preserve"> Статья 7</w:t>
      </w:r>
    </w:p>
    <w:bookmarkEnd w:id="11"/>
    <w:bookmarkStart w:name="z15" w:id="12"/>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bookmarkEnd w:id="12"/>
    <w:bookmarkStart w:name="z16" w:id="13"/>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3"/>
    <w:bookmarkStart w:name="z17" w:id="14"/>
    <w:p>
      <w:pPr>
        <w:spacing w:after="0"/>
        <w:ind w:left="0"/>
        <w:jc w:val="both"/>
      </w:pP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14"/>
    <w:bookmarkStart w:name="z18" w:id="15"/>
    <w:p>
      <w:pPr>
        <w:spacing w:after="0"/>
        <w:ind w:left="0"/>
        <w:jc w:val="left"/>
      </w:pPr>
      <w:r>
        <w:rPr>
          <w:rFonts w:ascii="Times New Roman"/>
          <w:b/>
          <w:i w:val="false"/>
          <w:color w:val="000000"/>
        </w:rPr>
        <w:t xml:space="preserve"> Статья 8</w:t>
      </w:r>
    </w:p>
    <w:bookmarkEnd w:id="15"/>
    <w:p>
      <w:pPr>
        <w:spacing w:after="0"/>
        <w:ind w:left="0"/>
        <w:jc w:val="both"/>
      </w:pPr>
      <w:r>
        <w:rPr>
          <w:rFonts w:ascii="Times New Roman"/>
          <w:b w:val="false"/>
          <w:i w:val="false"/>
          <w:color w:val="000000"/>
          <w:sz w:val="28"/>
        </w:rPr>
        <w:t>
      Настоящее Соглашение заключается на неопределенный срок и временно применяется с даты подписания.</w:t>
      </w:r>
    </w:p>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p>
      <w:pPr>
        <w:spacing w:after="0"/>
        <w:ind w:left="0"/>
        <w:jc w:val="both"/>
      </w:pPr>
      <w:r>
        <w:rPr>
          <w:rFonts w:ascii="Times New Roman"/>
          <w:b w:val="false"/>
          <w:i w:val="false"/>
          <w:color w:val="000000"/>
          <w:sz w:val="28"/>
        </w:rPr>
        <w:t>
      Совершено в городе _________ "___" _________ 2011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w:t>
            </w:r>
            <w:r>
              <w:br/>
            </w:r>
            <w:r>
              <w:rPr>
                <w:rFonts w:ascii="Times New Roman"/>
                <w:b w:val="false"/>
                <w:i w:val="false"/>
                <w:color w:val="000000"/>
                <w:sz w:val="20"/>
              </w:rPr>
              <w:t>об организации обмена информацией</w:t>
            </w:r>
            <w:r>
              <w:br/>
            </w:r>
            <w:r>
              <w:rPr>
                <w:rFonts w:ascii="Times New Roman"/>
                <w:b w:val="false"/>
                <w:i w:val="false"/>
                <w:color w:val="000000"/>
                <w:sz w:val="20"/>
              </w:rPr>
              <w:t>для реализации аналитических и</w:t>
            </w:r>
            <w:r>
              <w:br/>
            </w:r>
            <w:r>
              <w:rPr>
                <w:rFonts w:ascii="Times New Roman"/>
                <w:b w:val="false"/>
                <w:i w:val="false"/>
                <w:color w:val="000000"/>
                <w:sz w:val="20"/>
              </w:rPr>
              <w:t>контрольных функций таможенных</w:t>
            </w:r>
            <w:r>
              <w:br/>
            </w:r>
            <w:r>
              <w:rPr>
                <w:rFonts w:ascii="Times New Roman"/>
                <w:b w:val="false"/>
                <w:i w:val="false"/>
                <w:color w:val="000000"/>
                <w:sz w:val="20"/>
              </w:rPr>
              <w:t>органов государств – членов</w:t>
            </w:r>
            <w:r>
              <w:br/>
            </w:r>
            <w:r>
              <w:rPr>
                <w:rFonts w:ascii="Times New Roman"/>
                <w:b w:val="false"/>
                <w:i w:val="false"/>
                <w:color w:val="000000"/>
                <w:sz w:val="20"/>
              </w:rPr>
              <w:t>Таможенного союза</w:t>
            </w:r>
          </w:p>
        </w:tc>
      </w:tr>
    </w:tbl>
    <w:bookmarkStart w:name="z20" w:id="16"/>
    <w:p>
      <w:pPr>
        <w:spacing w:after="0"/>
        <w:ind w:left="0"/>
        <w:jc w:val="left"/>
      </w:pPr>
      <w:r>
        <w:rPr>
          <w:rFonts w:ascii="Times New Roman"/>
          <w:b/>
          <w:i w:val="false"/>
          <w:color w:val="000000"/>
        </w:rPr>
        <w:t xml:space="preserve"> Состав сведений для обмена информацией из баз данных</w:t>
      </w:r>
      <w:r>
        <w:br/>
      </w:r>
      <w:r>
        <w:rPr>
          <w:rFonts w:ascii="Times New Roman"/>
          <w:b/>
          <w:i w:val="false"/>
          <w:color w:val="000000"/>
        </w:rPr>
        <w:t>электронных копий деклараций на товары, оформленных таможенными</w:t>
      </w:r>
      <w:r>
        <w:br/>
      </w:r>
      <w:r>
        <w:rPr>
          <w:rFonts w:ascii="Times New Roman"/>
          <w:b/>
          <w:i w:val="false"/>
          <w:color w:val="000000"/>
        </w:rPr>
        <w:t>органами государств-членов Таможенного союза</w:t>
      </w:r>
    </w:p>
    <w:bookmarkEnd w:id="16"/>
    <w:bookmarkStart w:name="z21" w:id="17"/>
    <w:p>
      <w:pPr>
        <w:spacing w:after="0"/>
        <w:ind w:left="0"/>
        <w:jc w:val="both"/>
      </w:pPr>
      <w:r>
        <w:rPr>
          <w:rFonts w:ascii="Times New Roman"/>
          <w:b w:val="false"/>
          <w:i w:val="false"/>
          <w:color w:val="000000"/>
          <w:sz w:val="28"/>
        </w:rPr>
        <w:t xml:space="preserve">
      </w:t>
      </w:r>
      <w:r>
        <w:rPr>
          <w:rFonts w:ascii="Times New Roman"/>
          <w:b w:val="false"/>
          <w:i/>
          <w:color w:val="000000"/>
          <w:sz w:val="28"/>
        </w:rPr>
        <w:t>Сведения из электронной копии Декларации на товары (далее – ДТ):</w:t>
      </w:r>
    </w:p>
    <w:bookmarkEnd w:id="17"/>
    <w:p>
      <w:pPr>
        <w:spacing w:after="0"/>
        <w:ind w:left="0"/>
        <w:jc w:val="both"/>
      </w:pPr>
      <w:r>
        <w:rPr>
          <w:rFonts w:ascii="Times New Roman"/>
          <w:b w:val="false"/>
          <w:i w:val="false"/>
          <w:color w:val="000000"/>
          <w:sz w:val="28"/>
        </w:rPr>
        <w:t>
      регистрационный номер ДТ;</w:t>
      </w:r>
    </w:p>
    <w:p>
      <w:pPr>
        <w:spacing w:after="0"/>
        <w:ind w:left="0"/>
        <w:jc w:val="both"/>
      </w:pPr>
      <w:r>
        <w:rPr>
          <w:rFonts w:ascii="Times New Roman"/>
          <w:b w:val="false"/>
          <w:i w:val="false"/>
          <w:color w:val="000000"/>
          <w:sz w:val="28"/>
        </w:rPr>
        <w:t>
      направление перемещения (сведения из подраздела 1 графы 1 ДТ);</w:t>
      </w:r>
    </w:p>
    <w:p>
      <w:pPr>
        <w:spacing w:after="0"/>
        <w:ind w:left="0"/>
        <w:jc w:val="both"/>
      </w:pPr>
      <w:r>
        <w:rPr>
          <w:rFonts w:ascii="Times New Roman"/>
          <w:b w:val="false"/>
          <w:i w:val="false"/>
          <w:color w:val="000000"/>
          <w:sz w:val="28"/>
        </w:rPr>
        <w:t>
      общее число товаров;</w:t>
      </w:r>
    </w:p>
    <w:p>
      <w:pPr>
        <w:spacing w:after="0"/>
        <w:ind w:left="0"/>
        <w:jc w:val="both"/>
      </w:pPr>
      <w:r>
        <w:rPr>
          <w:rFonts w:ascii="Times New Roman"/>
          <w:b w:val="false"/>
          <w:i w:val="false"/>
          <w:color w:val="000000"/>
          <w:sz w:val="28"/>
        </w:rPr>
        <w:t>
      общее количество грузовых мест, соответствующее декларируемым товарам и указанное в транспортных (перевозочных) документах;</w:t>
      </w:r>
    </w:p>
    <w:p>
      <w:pPr>
        <w:spacing w:after="0"/>
        <w:ind w:left="0"/>
        <w:jc w:val="both"/>
      </w:pPr>
      <w:r>
        <w:rPr>
          <w:rFonts w:ascii="Times New Roman"/>
          <w:b w:val="false"/>
          <w:i w:val="false"/>
          <w:color w:val="000000"/>
          <w:sz w:val="28"/>
        </w:rPr>
        <w:t>
      код заявляемой таможенной процедуры в соответствии с Классификатором таможенных процедур;</w:t>
      </w:r>
    </w:p>
    <w:p>
      <w:pPr>
        <w:spacing w:after="0"/>
        <w:ind w:left="0"/>
        <w:jc w:val="both"/>
      </w:pPr>
      <w:r>
        <w:rPr>
          <w:rFonts w:ascii="Times New Roman"/>
          <w:b w:val="false"/>
          <w:i w:val="false"/>
          <w:color w:val="000000"/>
          <w:sz w:val="28"/>
        </w:rPr>
        <w:t>
      код предшествующей таможенной процедуры в соответствии с Классификатором таможенных процедур;</w:t>
      </w:r>
    </w:p>
    <w:p>
      <w:pPr>
        <w:spacing w:after="0"/>
        <w:ind w:left="0"/>
        <w:jc w:val="both"/>
      </w:pPr>
      <w:r>
        <w:rPr>
          <w:rFonts w:ascii="Times New Roman"/>
          <w:b w:val="false"/>
          <w:i w:val="false"/>
          <w:color w:val="000000"/>
          <w:sz w:val="28"/>
        </w:rPr>
        <w:t>
      код страны отправления;</w:t>
      </w:r>
    </w:p>
    <w:p>
      <w:pPr>
        <w:spacing w:after="0"/>
        <w:ind w:left="0"/>
        <w:jc w:val="both"/>
      </w:pPr>
      <w:r>
        <w:rPr>
          <w:rFonts w:ascii="Times New Roman"/>
          <w:b w:val="false"/>
          <w:i w:val="false"/>
          <w:color w:val="000000"/>
          <w:sz w:val="28"/>
        </w:rPr>
        <w:t>
      код страны происхождения;</w:t>
      </w:r>
    </w:p>
    <w:p>
      <w:pPr>
        <w:spacing w:after="0"/>
        <w:ind w:left="0"/>
        <w:jc w:val="both"/>
      </w:pPr>
      <w:r>
        <w:rPr>
          <w:rFonts w:ascii="Times New Roman"/>
          <w:b w:val="false"/>
          <w:i w:val="false"/>
          <w:color w:val="000000"/>
          <w:sz w:val="28"/>
        </w:rPr>
        <w:t>
      код страны назначения;</w:t>
      </w:r>
    </w:p>
    <w:p>
      <w:pPr>
        <w:spacing w:after="0"/>
        <w:ind w:left="0"/>
        <w:jc w:val="both"/>
      </w:pPr>
      <w:r>
        <w:rPr>
          <w:rFonts w:ascii="Times New Roman"/>
          <w:b w:val="false"/>
          <w:i w:val="false"/>
          <w:color w:val="000000"/>
          <w:sz w:val="28"/>
        </w:rPr>
        <w:t>
      код торгующей страны;</w:t>
      </w:r>
    </w:p>
    <w:p>
      <w:pPr>
        <w:spacing w:after="0"/>
        <w:ind w:left="0"/>
        <w:jc w:val="both"/>
      </w:pPr>
      <w:r>
        <w:rPr>
          <w:rFonts w:ascii="Times New Roman"/>
          <w:b w:val="false"/>
          <w:i w:val="false"/>
          <w:color w:val="000000"/>
          <w:sz w:val="28"/>
        </w:rPr>
        <w:t>
      код вида транспорта на границе и внутри страны;</w:t>
      </w:r>
    </w:p>
    <w:p>
      <w:pPr>
        <w:spacing w:after="0"/>
        <w:ind w:left="0"/>
        <w:jc w:val="both"/>
      </w:pPr>
      <w:r>
        <w:rPr>
          <w:rFonts w:ascii="Times New Roman"/>
          <w:b w:val="false"/>
          <w:i w:val="false"/>
          <w:color w:val="000000"/>
          <w:sz w:val="28"/>
        </w:rPr>
        <w:t>
      место погрузки (разгрузки);</w:t>
      </w:r>
    </w:p>
    <w:p>
      <w:pPr>
        <w:spacing w:after="0"/>
        <w:ind w:left="0"/>
        <w:jc w:val="both"/>
      </w:pPr>
      <w:r>
        <w:rPr>
          <w:rFonts w:ascii="Times New Roman"/>
          <w:b w:val="false"/>
          <w:i w:val="false"/>
          <w:color w:val="000000"/>
          <w:sz w:val="28"/>
        </w:rPr>
        <w:t>
      местонахождение товаров;</w:t>
      </w:r>
    </w:p>
    <w:p>
      <w:pPr>
        <w:spacing w:after="0"/>
        <w:ind w:left="0"/>
        <w:jc w:val="both"/>
      </w:pPr>
      <w:r>
        <w:rPr>
          <w:rFonts w:ascii="Times New Roman"/>
          <w:b w:val="false"/>
          <w:i w:val="false"/>
          <w:color w:val="000000"/>
          <w:sz w:val="28"/>
        </w:rPr>
        <w:t>
      номер транспортного средства на границе и внутри страны;</w:t>
      </w:r>
    </w:p>
    <w:p>
      <w:pPr>
        <w:spacing w:after="0"/>
        <w:ind w:left="0"/>
        <w:jc w:val="both"/>
      </w:pPr>
      <w:r>
        <w:rPr>
          <w:rFonts w:ascii="Times New Roman"/>
          <w:b w:val="false"/>
          <w:i w:val="false"/>
          <w:color w:val="000000"/>
          <w:sz w:val="28"/>
        </w:rPr>
        <w:t>
      идентификация и страна регистрации транспортного средства при отправлении (прибытии);</w:t>
      </w:r>
    </w:p>
    <w:p>
      <w:pPr>
        <w:spacing w:after="0"/>
        <w:ind w:left="0"/>
        <w:jc w:val="both"/>
      </w:pPr>
      <w:r>
        <w:rPr>
          <w:rFonts w:ascii="Times New Roman"/>
          <w:b w:val="false"/>
          <w:i w:val="false"/>
          <w:color w:val="000000"/>
          <w:sz w:val="28"/>
        </w:rPr>
        <w:t>
      признак контейнерной перевозки;</w:t>
      </w:r>
    </w:p>
    <w:p>
      <w:pPr>
        <w:spacing w:after="0"/>
        <w:ind w:left="0"/>
        <w:jc w:val="both"/>
      </w:pPr>
      <w:r>
        <w:rPr>
          <w:rFonts w:ascii="Times New Roman"/>
          <w:b w:val="false"/>
          <w:i w:val="false"/>
          <w:color w:val="000000"/>
          <w:sz w:val="28"/>
        </w:rPr>
        <w:t>
      код валюты цены договора;</w:t>
      </w:r>
    </w:p>
    <w:p>
      <w:pPr>
        <w:spacing w:after="0"/>
        <w:ind w:left="0"/>
        <w:jc w:val="both"/>
      </w:pPr>
      <w:r>
        <w:rPr>
          <w:rFonts w:ascii="Times New Roman"/>
          <w:b w:val="false"/>
          <w:i w:val="false"/>
          <w:color w:val="000000"/>
          <w:sz w:val="28"/>
        </w:rPr>
        <w:t>
      курс валюты цены договора;</w:t>
      </w:r>
    </w:p>
    <w:p>
      <w:pPr>
        <w:spacing w:after="0"/>
        <w:ind w:left="0"/>
        <w:jc w:val="both"/>
      </w:pPr>
      <w:r>
        <w:rPr>
          <w:rFonts w:ascii="Times New Roman"/>
          <w:b w:val="false"/>
          <w:i w:val="false"/>
          <w:color w:val="000000"/>
          <w:sz w:val="28"/>
        </w:rPr>
        <w:t>
      общая сумма по счету в валюте договора;</w:t>
      </w:r>
    </w:p>
    <w:p>
      <w:pPr>
        <w:spacing w:after="0"/>
        <w:ind w:left="0"/>
        <w:jc w:val="both"/>
      </w:pPr>
      <w:r>
        <w:rPr>
          <w:rFonts w:ascii="Times New Roman"/>
          <w:b w:val="false"/>
          <w:i w:val="false"/>
          <w:color w:val="000000"/>
          <w:sz w:val="28"/>
        </w:rPr>
        <w:t>
      номер товара по ДТ;</w:t>
      </w:r>
    </w:p>
    <w:p>
      <w:pPr>
        <w:spacing w:after="0"/>
        <w:ind w:left="0"/>
        <w:jc w:val="both"/>
      </w:pPr>
      <w:r>
        <w:rPr>
          <w:rFonts w:ascii="Times New Roman"/>
          <w:b w:val="false"/>
          <w:i w:val="false"/>
          <w:color w:val="000000"/>
          <w:sz w:val="28"/>
        </w:rPr>
        <w:t>
      код товара по ТН ВЭД ТС;</w:t>
      </w:r>
    </w:p>
    <w:p>
      <w:pPr>
        <w:spacing w:after="0"/>
        <w:ind w:left="0"/>
        <w:jc w:val="both"/>
      </w:pPr>
      <w:r>
        <w:rPr>
          <w:rFonts w:ascii="Times New Roman"/>
          <w:b w:val="false"/>
          <w:i w:val="false"/>
          <w:color w:val="000000"/>
          <w:sz w:val="28"/>
        </w:rPr>
        <w:t>
      грузовые места и описание товара из ДТ (полное содержание 31 графы ДТ);</w:t>
      </w:r>
    </w:p>
    <w:p>
      <w:pPr>
        <w:spacing w:after="0"/>
        <w:ind w:left="0"/>
        <w:jc w:val="both"/>
      </w:pPr>
      <w:r>
        <w:rPr>
          <w:rFonts w:ascii="Times New Roman"/>
          <w:b w:val="false"/>
          <w:i w:val="false"/>
          <w:color w:val="000000"/>
          <w:sz w:val="28"/>
        </w:rPr>
        <w:t>
      вес нетто;</w:t>
      </w:r>
    </w:p>
    <w:p>
      <w:pPr>
        <w:spacing w:after="0"/>
        <w:ind w:left="0"/>
        <w:jc w:val="both"/>
      </w:pPr>
      <w:r>
        <w:rPr>
          <w:rFonts w:ascii="Times New Roman"/>
          <w:b w:val="false"/>
          <w:i w:val="false"/>
          <w:color w:val="000000"/>
          <w:sz w:val="28"/>
        </w:rPr>
        <w:t>
      вес брутто;</w:t>
      </w:r>
    </w:p>
    <w:p>
      <w:pPr>
        <w:spacing w:after="0"/>
        <w:ind w:left="0"/>
        <w:jc w:val="both"/>
      </w:pPr>
      <w:r>
        <w:rPr>
          <w:rFonts w:ascii="Times New Roman"/>
          <w:b w:val="false"/>
          <w:i w:val="false"/>
          <w:color w:val="000000"/>
          <w:sz w:val="28"/>
        </w:rPr>
        <w:t>
      квота;</w:t>
      </w:r>
    </w:p>
    <w:p>
      <w:pPr>
        <w:spacing w:after="0"/>
        <w:ind w:left="0"/>
        <w:jc w:val="both"/>
      </w:pPr>
      <w:r>
        <w:rPr>
          <w:rFonts w:ascii="Times New Roman"/>
          <w:b w:val="false"/>
          <w:i w:val="false"/>
          <w:color w:val="000000"/>
          <w:sz w:val="28"/>
        </w:rPr>
        <w:t>
      предшествующий документ;</w:t>
      </w:r>
    </w:p>
    <w:p>
      <w:pPr>
        <w:spacing w:after="0"/>
        <w:ind w:left="0"/>
        <w:jc w:val="both"/>
      </w:pPr>
      <w:r>
        <w:rPr>
          <w:rFonts w:ascii="Times New Roman"/>
          <w:b w:val="false"/>
          <w:i w:val="false"/>
          <w:color w:val="000000"/>
          <w:sz w:val="28"/>
        </w:rPr>
        <w:t>
      цена товара;</w:t>
      </w:r>
    </w:p>
    <w:p>
      <w:pPr>
        <w:spacing w:after="0"/>
        <w:ind w:left="0"/>
        <w:jc w:val="both"/>
      </w:pPr>
      <w:r>
        <w:rPr>
          <w:rFonts w:ascii="Times New Roman"/>
          <w:b w:val="false"/>
          <w:i w:val="false"/>
          <w:color w:val="000000"/>
          <w:sz w:val="28"/>
        </w:rPr>
        <w:t>
      дополнительная информация/представленные документы из 44 графы ДТ за исключением иных документов и сведений, предусмотренных национальными законодательствами государств-членов Таможенного союза;</w:t>
      </w:r>
    </w:p>
    <w:p>
      <w:pPr>
        <w:spacing w:after="0"/>
        <w:ind w:left="0"/>
        <w:jc w:val="both"/>
      </w:pPr>
      <w:r>
        <w:rPr>
          <w:rFonts w:ascii="Times New Roman"/>
          <w:b w:val="false"/>
          <w:i w:val="false"/>
          <w:color w:val="000000"/>
          <w:sz w:val="28"/>
        </w:rPr>
        <w:t>
      код дополнительной единицы измерения;</w:t>
      </w:r>
    </w:p>
    <w:p>
      <w:pPr>
        <w:spacing w:after="0"/>
        <w:ind w:left="0"/>
        <w:jc w:val="both"/>
      </w:pPr>
      <w:r>
        <w:rPr>
          <w:rFonts w:ascii="Times New Roman"/>
          <w:b w:val="false"/>
          <w:i w:val="false"/>
          <w:color w:val="000000"/>
          <w:sz w:val="28"/>
        </w:rPr>
        <w:t>
      количество товара в дополнительной единице измерения;</w:t>
      </w:r>
    </w:p>
    <w:p>
      <w:pPr>
        <w:spacing w:after="0"/>
        <w:ind w:left="0"/>
        <w:jc w:val="both"/>
      </w:pPr>
      <w:r>
        <w:rPr>
          <w:rFonts w:ascii="Times New Roman"/>
          <w:b w:val="false"/>
          <w:i w:val="false"/>
          <w:color w:val="000000"/>
          <w:sz w:val="28"/>
        </w:rPr>
        <w:t>
      условия поставки (базис поставки и название географического пункта в соответствии с базисом поставки);</w:t>
      </w:r>
    </w:p>
    <w:p>
      <w:pPr>
        <w:spacing w:after="0"/>
        <w:ind w:left="0"/>
        <w:jc w:val="both"/>
      </w:pPr>
      <w:r>
        <w:rPr>
          <w:rFonts w:ascii="Times New Roman"/>
          <w:b w:val="false"/>
          <w:i w:val="false"/>
          <w:color w:val="000000"/>
          <w:sz w:val="28"/>
        </w:rPr>
        <w:t>
      статистическая стоимость товара;</w:t>
      </w:r>
    </w:p>
    <w:p>
      <w:pPr>
        <w:spacing w:after="0"/>
        <w:ind w:left="0"/>
        <w:jc w:val="both"/>
      </w:pPr>
      <w:r>
        <w:rPr>
          <w:rFonts w:ascii="Times New Roman"/>
          <w:b w:val="false"/>
          <w:i w:val="false"/>
          <w:color w:val="000000"/>
          <w:sz w:val="28"/>
        </w:rPr>
        <w:t>
      сведения о проведенных формах таможенного контроля (при наличии);</w:t>
      </w:r>
    </w:p>
    <w:p>
      <w:pPr>
        <w:spacing w:after="0"/>
        <w:ind w:left="0"/>
        <w:jc w:val="both"/>
      </w:pPr>
      <w:r>
        <w:rPr>
          <w:rFonts w:ascii="Times New Roman"/>
          <w:b w:val="false"/>
          <w:i w:val="false"/>
          <w:color w:val="000000"/>
          <w:sz w:val="28"/>
        </w:rPr>
        <w:t>
      таможенная стоимость товара;</w:t>
      </w:r>
    </w:p>
    <w:p>
      <w:pPr>
        <w:spacing w:after="0"/>
        <w:ind w:left="0"/>
        <w:jc w:val="both"/>
      </w:pPr>
      <w:r>
        <w:rPr>
          <w:rFonts w:ascii="Times New Roman"/>
          <w:b w:val="false"/>
          <w:i w:val="false"/>
          <w:color w:val="000000"/>
          <w:sz w:val="28"/>
        </w:rPr>
        <w:t>
      метод определения таможенной стоимости;</w:t>
      </w:r>
    </w:p>
    <w:p>
      <w:pPr>
        <w:spacing w:after="0"/>
        <w:ind w:left="0"/>
        <w:jc w:val="both"/>
      </w:pPr>
      <w:r>
        <w:rPr>
          <w:rFonts w:ascii="Times New Roman"/>
          <w:b w:val="false"/>
          <w:i w:val="false"/>
          <w:color w:val="000000"/>
          <w:sz w:val="28"/>
        </w:rPr>
        <w:t>
      код признака решения по таможенной стоимости;</w:t>
      </w:r>
    </w:p>
    <w:p>
      <w:pPr>
        <w:spacing w:after="0"/>
        <w:ind w:left="0"/>
        <w:jc w:val="both"/>
      </w:pPr>
      <w:r>
        <w:rPr>
          <w:rFonts w:ascii="Times New Roman"/>
          <w:b w:val="false"/>
          <w:i w:val="false"/>
          <w:color w:val="000000"/>
          <w:sz w:val="28"/>
        </w:rPr>
        <w:t>
      ставки платежей по видам;</w:t>
      </w:r>
    </w:p>
    <w:p>
      <w:pPr>
        <w:spacing w:after="0"/>
        <w:ind w:left="0"/>
        <w:jc w:val="both"/>
      </w:pPr>
      <w:r>
        <w:rPr>
          <w:rFonts w:ascii="Times New Roman"/>
          <w:b w:val="false"/>
          <w:i w:val="false"/>
          <w:color w:val="000000"/>
          <w:sz w:val="28"/>
        </w:rPr>
        <w:t>
      сведения об исчисленной ввозной таможенной пошлине (вид платежа, основа исчисления, ставка, сумма, специфика платежа);</w:t>
      </w:r>
    </w:p>
    <w:p>
      <w:pPr>
        <w:spacing w:after="0"/>
        <w:ind w:left="0"/>
        <w:jc w:val="both"/>
      </w:pPr>
      <w:r>
        <w:rPr>
          <w:rFonts w:ascii="Times New Roman"/>
          <w:b w:val="false"/>
          <w:i w:val="false"/>
          <w:color w:val="000000"/>
          <w:sz w:val="28"/>
        </w:rPr>
        <w:t>
      сведения о фактически уплаченной ввозной таможенной пошлине (вид платежа, сумма, способ уплаты, номера платежных документов);</w:t>
      </w:r>
    </w:p>
    <w:p>
      <w:pPr>
        <w:spacing w:after="0"/>
        <w:ind w:left="0"/>
        <w:jc w:val="both"/>
      </w:pPr>
      <w:r>
        <w:rPr>
          <w:rFonts w:ascii="Times New Roman"/>
          <w:b w:val="false"/>
          <w:i w:val="false"/>
          <w:color w:val="000000"/>
          <w:sz w:val="28"/>
        </w:rPr>
        <w:t>
      сведения о предоставленных отсрочках (рассрочках) уплаты ввозной таможенной пошлины;</w:t>
      </w:r>
    </w:p>
    <w:p>
      <w:pPr>
        <w:spacing w:after="0"/>
        <w:ind w:left="0"/>
        <w:jc w:val="both"/>
      </w:pPr>
      <w:r>
        <w:rPr>
          <w:rFonts w:ascii="Times New Roman"/>
          <w:b w:val="false"/>
          <w:i w:val="false"/>
          <w:color w:val="000000"/>
          <w:sz w:val="28"/>
        </w:rPr>
        <w:t>
      код преференции по ввозной таможенной пошлине;</w:t>
      </w:r>
    </w:p>
    <w:p>
      <w:pPr>
        <w:spacing w:after="0"/>
        <w:ind w:left="0"/>
        <w:jc w:val="both"/>
      </w:pPr>
      <w:r>
        <w:rPr>
          <w:rFonts w:ascii="Times New Roman"/>
          <w:b w:val="false"/>
          <w:i w:val="false"/>
          <w:color w:val="000000"/>
          <w:sz w:val="28"/>
        </w:rPr>
        <w:t>
      дата выпуска товара.</w:t>
      </w:r>
    </w:p>
    <w:bookmarkStart w:name="z22" w:id="18"/>
    <w:p>
      <w:pPr>
        <w:spacing w:after="0"/>
        <w:ind w:left="0"/>
        <w:jc w:val="both"/>
      </w:pPr>
      <w:r>
        <w:rPr>
          <w:rFonts w:ascii="Times New Roman"/>
          <w:b w:val="false"/>
          <w:i w:val="false"/>
          <w:color w:val="000000"/>
          <w:sz w:val="28"/>
        </w:rPr>
        <w:t xml:space="preserve">
      </w:t>
      </w:r>
      <w:r>
        <w:rPr>
          <w:rFonts w:ascii="Times New Roman"/>
          <w:b w:val="false"/>
          <w:i/>
          <w:color w:val="000000"/>
          <w:sz w:val="28"/>
        </w:rPr>
        <w:t>Сведения из электронной копии декларации таможенной стоимости (далее – ДТС -1):</w:t>
      </w:r>
    </w:p>
    <w:bookmarkEnd w:id="18"/>
    <w:p>
      <w:pPr>
        <w:spacing w:after="0"/>
        <w:ind w:left="0"/>
        <w:jc w:val="both"/>
      </w:pPr>
      <w:r>
        <w:rPr>
          <w:rFonts w:ascii="Times New Roman"/>
          <w:b w:val="false"/>
          <w:i w:val="false"/>
          <w:color w:val="000000"/>
          <w:sz w:val="28"/>
        </w:rPr>
        <w:t>
      регистрационный номер ДТ, указанный в ДТС-1;</w:t>
      </w:r>
    </w:p>
    <w:p>
      <w:pPr>
        <w:spacing w:after="0"/>
        <w:ind w:left="0"/>
        <w:jc w:val="both"/>
      </w:pPr>
      <w:r>
        <w:rPr>
          <w:rFonts w:ascii="Times New Roman"/>
          <w:b w:val="false"/>
          <w:i w:val="false"/>
          <w:color w:val="000000"/>
          <w:sz w:val="28"/>
        </w:rPr>
        <w:t>
      дополнительные начисления к цене, фактически уплаченной или подлежащей уплате, с детализацией по видам;</w:t>
      </w:r>
    </w:p>
    <w:p>
      <w:pPr>
        <w:spacing w:after="0"/>
        <w:ind w:left="0"/>
        <w:jc w:val="both"/>
      </w:pPr>
      <w:r>
        <w:rPr>
          <w:rFonts w:ascii="Times New Roman"/>
          <w:b w:val="false"/>
          <w:i w:val="false"/>
          <w:color w:val="000000"/>
          <w:sz w:val="28"/>
        </w:rPr>
        <w:t>
      вычеты из цены, фактически уплаченной или подлежащей уплате, с детализацией по видам;</w:t>
      </w:r>
    </w:p>
    <w:p>
      <w:pPr>
        <w:spacing w:after="0"/>
        <w:ind w:left="0"/>
        <w:jc w:val="both"/>
      </w:pPr>
      <w:r>
        <w:rPr>
          <w:rFonts w:ascii="Times New Roman"/>
          <w:b w:val="false"/>
          <w:i w:val="false"/>
          <w:color w:val="000000"/>
          <w:sz w:val="28"/>
        </w:rPr>
        <w:t>
      курс пересчета иностранной валюты в доллары США.</w:t>
      </w:r>
    </w:p>
    <w:bookmarkStart w:name="z23" w:id="19"/>
    <w:p>
      <w:pPr>
        <w:spacing w:after="0"/>
        <w:ind w:left="0"/>
        <w:jc w:val="both"/>
      </w:pPr>
      <w:r>
        <w:rPr>
          <w:rFonts w:ascii="Times New Roman"/>
          <w:b w:val="false"/>
          <w:i w:val="false"/>
          <w:color w:val="000000"/>
          <w:sz w:val="28"/>
        </w:rPr>
        <w:t xml:space="preserve">
      </w:t>
      </w:r>
      <w:r>
        <w:rPr>
          <w:rFonts w:ascii="Times New Roman"/>
          <w:b w:val="false"/>
          <w:i/>
          <w:color w:val="000000"/>
          <w:sz w:val="28"/>
        </w:rPr>
        <w:t>Сведения из электронной копии корректировки таможенной стоимости (далее – КТС) за исключением копий КТС, оформленных в связи с выпуском товаров с обеспечением уплаты таможенных пошлин, налогов:</w:t>
      </w:r>
    </w:p>
    <w:bookmarkEnd w:id="19"/>
    <w:p>
      <w:pPr>
        <w:spacing w:after="0"/>
        <w:ind w:left="0"/>
        <w:jc w:val="both"/>
      </w:pPr>
      <w:r>
        <w:rPr>
          <w:rFonts w:ascii="Times New Roman"/>
          <w:b w:val="false"/>
          <w:i w:val="false"/>
          <w:color w:val="000000"/>
          <w:sz w:val="28"/>
        </w:rPr>
        <w:t>
      регистрационный номер ДТ, указанный в КТС;</w:t>
      </w:r>
    </w:p>
    <w:p>
      <w:pPr>
        <w:spacing w:after="0"/>
        <w:ind w:left="0"/>
        <w:jc w:val="both"/>
      </w:pPr>
      <w:r>
        <w:rPr>
          <w:rFonts w:ascii="Times New Roman"/>
          <w:b w:val="false"/>
          <w:i w:val="false"/>
          <w:color w:val="000000"/>
          <w:sz w:val="28"/>
        </w:rPr>
        <w:t>
      дата заполнения КТС;</w:t>
      </w:r>
    </w:p>
    <w:p>
      <w:pPr>
        <w:spacing w:after="0"/>
        <w:ind w:left="0"/>
        <w:jc w:val="both"/>
      </w:pPr>
      <w:r>
        <w:rPr>
          <w:rFonts w:ascii="Times New Roman"/>
          <w:b w:val="false"/>
          <w:i w:val="false"/>
          <w:color w:val="000000"/>
          <w:sz w:val="28"/>
        </w:rPr>
        <w:t>
      тип корректировки;</w:t>
      </w:r>
    </w:p>
    <w:p>
      <w:pPr>
        <w:spacing w:after="0"/>
        <w:ind w:left="0"/>
        <w:jc w:val="both"/>
      </w:pPr>
      <w:r>
        <w:rPr>
          <w:rFonts w:ascii="Times New Roman"/>
          <w:b w:val="false"/>
          <w:i w:val="false"/>
          <w:color w:val="000000"/>
          <w:sz w:val="28"/>
        </w:rPr>
        <w:t>
      порядковый номер КТС;</w:t>
      </w:r>
    </w:p>
    <w:p>
      <w:pPr>
        <w:spacing w:after="0"/>
        <w:ind w:left="0"/>
        <w:jc w:val="both"/>
      </w:pPr>
      <w:r>
        <w:rPr>
          <w:rFonts w:ascii="Times New Roman"/>
          <w:b w:val="false"/>
          <w:i w:val="false"/>
          <w:color w:val="000000"/>
          <w:sz w:val="28"/>
        </w:rPr>
        <w:t>
      номер товара;</w:t>
      </w:r>
    </w:p>
    <w:p>
      <w:pPr>
        <w:spacing w:after="0"/>
        <w:ind w:left="0"/>
        <w:jc w:val="both"/>
      </w:pPr>
      <w:r>
        <w:rPr>
          <w:rFonts w:ascii="Times New Roman"/>
          <w:b w:val="false"/>
          <w:i w:val="false"/>
          <w:color w:val="000000"/>
          <w:sz w:val="28"/>
        </w:rPr>
        <w:t>
      код метода определения таможенной стоимости;</w:t>
      </w:r>
    </w:p>
    <w:p>
      <w:pPr>
        <w:spacing w:after="0"/>
        <w:ind w:left="0"/>
        <w:jc w:val="both"/>
      </w:pPr>
      <w:r>
        <w:rPr>
          <w:rFonts w:ascii="Times New Roman"/>
          <w:b w:val="false"/>
          <w:i w:val="false"/>
          <w:color w:val="000000"/>
          <w:sz w:val="28"/>
        </w:rPr>
        <w:t>
      сведения о стоимости товара до корректировки таможенной стоимости и после (по каждому товару);</w:t>
      </w:r>
    </w:p>
    <w:p>
      <w:pPr>
        <w:spacing w:after="0"/>
        <w:ind w:left="0"/>
        <w:jc w:val="both"/>
      </w:pPr>
      <w:r>
        <w:rPr>
          <w:rFonts w:ascii="Times New Roman"/>
          <w:b w:val="false"/>
          <w:i w:val="false"/>
          <w:color w:val="000000"/>
          <w:sz w:val="28"/>
        </w:rPr>
        <w:t>
      сумма предыдущей исчисленной таможенной пошлины (с детализацией по товарам);</w:t>
      </w:r>
    </w:p>
    <w:p>
      <w:pPr>
        <w:spacing w:after="0"/>
        <w:ind w:left="0"/>
        <w:jc w:val="both"/>
      </w:pPr>
      <w:r>
        <w:rPr>
          <w:rFonts w:ascii="Times New Roman"/>
          <w:b w:val="false"/>
          <w:i w:val="false"/>
          <w:color w:val="000000"/>
          <w:sz w:val="28"/>
        </w:rPr>
        <w:t>
      сведения о ставках по видам таможенных платежей по предшествующему исчислению (с детализацией по товарам);</w:t>
      </w:r>
    </w:p>
    <w:p>
      <w:pPr>
        <w:spacing w:after="0"/>
        <w:ind w:left="0"/>
        <w:jc w:val="both"/>
      </w:pPr>
      <w:r>
        <w:rPr>
          <w:rFonts w:ascii="Times New Roman"/>
          <w:b w:val="false"/>
          <w:i w:val="false"/>
          <w:color w:val="000000"/>
          <w:sz w:val="28"/>
        </w:rPr>
        <w:t>
      сумма таможенных пошлин, фактически уплаченных /возвращенных (с детализацией по товарам: вид платежа, способ платежа, номера платежных документов);</w:t>
      </w:r>
    </w:p>
    <w:p>
      <w:pPr>
        <w:spacing w:after="0"/>
        <w:ind w:left="0"/>
        <w:jc w:val="both"/>
      </w:pPr>
      <w:r>
        <w:rPr>
          <w:rFonts w:ascii="Times New Roman"/>
          <w:b w:val="false"/>
          <w:i w:val="false"/>
          <w:color w:val="000000"/>
          <w:sz w:val="28"/>
        </w:rPr>
        <w:t>
      сведения о ставках по видам таможенных платежей, фактически уплаченных/возвращенных (с детализацией по товару).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w:t>
            </w:r>
            <w:r>
              <w:br/>
            </w:r>
            <w:r>
              <w:rPr>
                <w:rFonts w:ascii="Times New Roman"/>
                <w:b w:val="false"/>
                <w:i w:val="false"/>
                <w:color w:val="000000"/>
                <w:sz w:val="20"/>
              </w:rPr>
              <w:t>об организации обмена информацией</w:t>
            </w:r>
            <w:r>
              <w:br/>
            </w:r>
            <w:r>
              <w:rPr>
                <w:rFonts w:ascii="Times New Roman"/>
                <w:b w:val="false"/>
                <w:i w:val="false"/>
                <w:color w:val="000000"/>
                <w:sz w:val="20"/>
              </w:rPr>
              <w:t>для реализации аналитических и</w:t>
            </w:r>
            <w:r>
              <w:br/>
            </w:r>
            <w:r>
              <w:rPr>
                <w:rFonts w:ascii="Times New Roman"/>
                <w:b w:val="false"/>
                <w:i w:val="false"/>
                <w:color w:val="000000"/>
                <w:sz w:val="20"/>
              </w:rPr>
              <w:t>контрольных функций таможенных</w:t>
            </w:r>
            <w:r>
              <w:br/>
            </w:r>
            <w:r>
              <w:rPr>
                <w:rFonts w:ascii="Times New Roman"/>
                <w:b w:val="false"/>
                <w:i w:val="false"/>
                <w:color w:val="000000"/>
                <w:sz w:val="20"/>
              </w:rPr>
              <w:t>органов государств – членов</w:t>
            </w:r>
            <w:r>
              <w:br/>
            </w:r>
            <w:r>
              <w:rPr>
                <w:rFonts w:ascii="Times New Roman"/>
                <w:b w:val="false"/>
                <w:i w:val="false"/>
                <w:color w:val="000000"/>
                <w:sz w:val="20"/>
              </w:rPr>
              <w:t>Таможенного союза</w:t>
            </w:r>
          </w:p>
        </w:tc>
      </w:tr>
    </w:tbl>
    <w:bookmarkStart w:name="z25" w:id="20"/>
    <w:p>
      <w:pPr>
        <w:spacing w:after="0"/>
        <w:ind w:left="0"/>
        <w:jc w:val="left"/>
      </w:pPr>
      <w:r>
        <w:rPr>
          <w:rFonts w:ascii="Times New Roman"/>
          <w:b/>
          <w:i w:val="false"/>
          <w:color w:val="000000"/>
        </w:rPr>
        <w:t xml:space="preserve"> Информация из баз данных электронных копий таможенных приходных</w:t>
      </w:r>
      <w:r>
        <w:br/>
      </w:r>
      <w:r>
        <w:rPr>
          <w:rFonts w:ascii="Times New Roman"/>
          <w:b/>
          <w:i w:val="false"/>
          <w:color w:val="000000"/>
        </w:rPr>
        <w:t>ордеров (далее – ТПО), оформленных таможенными органами</w:t>
      </w:r>
      <w:r>
        <w:br/>
      </w:r>
      <w:r>
        <w:rPr>
          <w:rFonts w:ascii="Times New Roman"/>
          <w:b/>
          <w:i w:val="false"/>
          <w:color w:val="000000"/>
        </w:rPr>
        <w:t>государств-членов Таможенного союза в отношении товаров</w:t>
      </w:r>
    </w:p>
    <w:bookmarkEnd w:id="20"/>
    <w:p>
      <w:pPr>
        <w:spacing w:after="0"/>
        <w:ind w:left="0"/>
        <w:jc w:val="both"/>
      </w:pPr>
      <w:r>
        <w:rPr>
          <w:rFonts w:ascii="Times New Roman"/>
          <w:b w:val="false"/>
          <w:i w:val="false"/>
          <w:color w:val="000000"/>
          <w:sz w:val="28"/>
        </w:rPr>
        <w:t>
      справочный номер ТПО;</w:t>
      </w:r>
    </w:p>
    <w:p>
      <w:pPr>
        <w:spacing w:after="0"/>
        <w:ind w:left="0"/>
        <w:jc w:val="both"/>
      </w:pPr>
      <w:r>
        <w:rPr>
          <w:rFonts w:ascii="Times New Roman"/>
          <w:b w:val="false"/>
          <w:i w:val="false"/>
          <w:color w:val="000000"/>
          <w:sz w:val="28"/>
        </w:rPr>
        <w:t>
      сведения из графы "тип ТПО";</w:t>
      </w:r>
    </w:p>
    <w:p>
      <w:pPr>
        <w:spacing w:after="0"/>
        <w:ind w:left="0"/>
        <w:jc w:val="both"/>
      </w:pPr>
      <w:r>
        <w:rPr>
          <w:rFonts w:ascii="Times New Roman"/>
          <w:b w:val="false"/>
          <w:i w:val="false"/>
          <w:color w:val="000000"/>
          <w:sz w:val="28"/>
        </w:rPr>
        <w:t>
      сведения из графы "Добавочный лист";</w:t>
      </w:r>
    </w:p>
    <w:p>
      <w:pPr>
        <w:spacing w:after="0"/>
        <w:ind w:left="0"/>
        <w:jc w:val="both"/>
      </w:pPr>
      <w:r>
        <w:rPr>
          <w:rFonts w:ascii="Times New Roman"/>
          <w:b w:val="false"/>
          <w:i w:val="false"/>
          <w:color w:val="000000"/>
          <w:sz w:val="28"/>
        </w:rPr>
        <w:t>
      сведения из графы "Валюта платежа"(в т.ч. курс доллара США и (или) курс евро);</w:t>
      </w:r>
    </w:p>
    <w:p>
      <w:pPr>
        <w:spacing w:after="0"/>
        <w:ind w:left="0"/>
        <w:jc w:val="both"/>
      </w:pPr>
      <w:r>
        <w:rPr>
          <w:rFonts w:ascii="Times New Roman"/>
          <w:b w:val="false"/>
          <w:i w:val="false"/>
          <w:color w:val="000000"/>
          <w:sz w:val="28"/>
        </w:rPr>
        <w:t>
      сведения из графы "Представляемые документы/Дополнительная информация" (в т.ч. вес, количество, стоимость товара в долларах США и (или) в евро, описание товара, код товара);</w:t>
      </w:r>
    </w:p>
    <w:p>
      <w:pPr>
        <w:spacing w:after="0"/>
        <w:ind w:left="0"/>
        <w:jc w:val="both"/>
      </w:pPr>
      <w:r>
        <w:rPr>
          <w:rFonts w:ascii="Times New Roman"/>
          <w:b w:val="false"/>
          <w:i w:val="false"/>
          <w:color w:val="000000"/>
          <w:sz w:val="28"/>
        </w:rPr>
        <w:t>
      сведения из графы "Наименование взимаемых платежей" (стоимость товара в долларах США и (или) евро);</w:t>
      </w:r>
    </w:p>
    <w:p>
      <w:pPr>
        <w:spacing w:after="0"/>
        <w:ind w:left="0"/>
        <w:jc w:val="both"/>
      </w:pPr>
      <w:r>
        <w:rPr>
          <w:rFonts w:ascii="Times New Roman"/>
          <w:b w:val="false"/>
          <w:i w:val="false"/>
          <w:color w:val="000000"/>
          <w:sz w:val="28"/>
        </w:rPr>
        <w:t>
      сведения из графы "Платежи" (вид, основа начисления, ставка, исчисленная сумма, способ платежа, подробности уплаты, сумма подлежащая уплате, исчисленная сумма платежа);</w:t>
      </w:r>
    </w:p>
    <w:p>
      <w:pPr>
        <w:spacing w:after="0"/>
        <w:ind w:left="0"/>
        <w:jc w:val="both"/>
      </w:pPr>
      <w:r>
        <w:rPr>
          <w:rFonts w:ascii="Times New Roman"/>
          <w:b w:val="false"/>
          <w:i w:val="false"/>
          <w:color w:val="000000"/>
          <w:sz w:val="28"/>
        </w:rPr>
        <w:t>
      сведения о корректировке (аннулирования) ТПО.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w:t>
            </w:r>
            <w:r>
              <w:br/>
            </w:r>
            <w:r>
              <w:rPr>
                <w:rFonts w:ascii="Times New Roman"/>
                <w:b w:val="false"/>
                <w:i w:val="false"/>
                <w:color w:val="000000"/>
                <w:sz w:val="20"/>
              </w:rPr>
              <w:t>об организации обмена информацией</w:t>
            </w:r>
            <w:r>
              <w:br/>
            </w:r>
            <w:r>
              <w:rPr>
                <w:rFonts w:ascii="Times New Roman"/>
                <w:b w:val="false"/>
                <w:i w:val="false"/>
                <w:color w:val="000000"/>
                <w:sz w:val="20"/>
              </w:rPr>
              <w:t>для реализации аналитических и</w:t>
            </w:r>
            <w:r>
              <w:br/>
            </w:r>
            <w:r>
              <w:rPr>
                <w:rFonts w:ascii="Times New Roman"/>
                <w:b w:val="false"/>
                <w:i w:val="false"/>
                <w:color w:val="000000"/>
                <w:sz w:val="20"/>
              </w:rPr>
              <w:t>контрольных функций таможенных</w:t>
            </w:r>
            <w:r>
              <w:br/>
            </w:r>
            <w:r>
              <w:rPr>
                <w:rFonts w:ascii="Times New Roman"/>
                <w:b w:val="false"/>
                <w:i w:val="false"/>
                <w:color w:val="000000"/>
                <w:sz w:val="20"/>
              </w:rPr>
              <w:t>органов государств – членов</w:t>
            </w:r>
            <w:r>
              <w:br/>
            </w:r>
            <w:r>
              <w:rPr>
                <w:rFonts w:ascii="Times New Roman"/>
                <w:b w:val="false"/>
                <w:i w:val="false"/>
                <w:color w:val="000000"/>
                <w:sz w:val="20"/>
              </w:rPr>
              <w:t>Таможенного союза</w:t>
            </w:r>
          </w:p>
        </w:tc>
      </w:tr>
    </w:tbl>
    <w:bookmarkStart w:name="z27" w:id="21"/>
    <w:p>
      <w:pPr>
        <w:spacing w:after="0"/>
        <w:ind w:left="0"/>
        <w:jc w:val="left"/>
      </w:pPr>
      <w:r>
        <w:rPr>
          <w:rFonts w:ascii="Times New Roman"/>
          <w:b/>
          <w:i w:val="false"/>
          <w:color w:val="000000"/>
        </w:rPr>
        <w:t xml:space="preserve"> Состав сведений для обмена информацией из баз данных</w:t>
      </w:r>
      <w:r>
        <w:br/>
      </w:r>
      <w:r>
        <w:rPr>
          <w:rFonts w:ascii="Times New Roman"/>
          <w:b/>
          <w:i w:val="false"/>
          <w:color w:val="000000"/>
        </w:rPr>
        <w:t>электронных копий предварительных решений по классификации</w:t>
      </w:r>
      <w:r>
        <w:br/>
      </w:r>
      <w:r>
        <w:rPr>
          <w:rFonts w:ascii="Times New Roman"/>
          <w:b/>
          <w:i w:val="false"/>
          <w:color w:val="000000"/>
        </w:rPr>
        <w:t>товаров по единой Товарной номенклатуре внешнеэкономической</w:t>
      </w:r>
      <w:r>
        <w:br/>
      </w:r>
      <w:r>
        <w:rPr>
          <w:rFonts w:ascii="Times New Roman"/>
          <w:b/>
          <w:i w:val="false"/>
          <w:color w:val="000000"/>
        </w:rPr>
        <w:t>деятельности</w:t>
      </w:r>
    </w:p>
    <w:bookmarkEnd w:id="21"/>
    <w:p>
      <w:pPr>
        <w:spacing w:after="0"/>
        <w:ind w:left="0"/>
        <w:jc w:val="both"/>
      </w:pPr>
      <w:r>
        <w:rPr>
          <w:rFonts w:ascii="Times New Roman"/>
          <w:b w:val="false"/>
          <w:i w:val="false"/>
          <w:color w:val="000000"/>
          <w:sz w:val="28"/>
        </w:rPr>
        <w:t>
      код таможенного органа, принявшего предварительное решение;</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дата принятия (число, месяц, год);</w:t>
      </w:r>
    </w:p>
    <w:p>
      <w:pPr>
        <w:spacing w:after="0"/>
        <w:ind w:left="0"/>
        <w:jc w:val="both"/>
      </w:pPr>
      <w:r>
        <w:rPr>
          <w:rFonts w:ascii="Times New Roman"/>
          <w:b w:val="false"/>
          <w:i w:val="false"/>
          <w:color w:val="000000"/>
          <w:sz w:val="28"/>
        </w:rPr>
        <w:t>
      наименование товара, указанное в запросе заявителем;</w:t>
      </w:r>
    </w:p>
    <w:p>
      <w:pPr>
        <w:spacing w:after="0"/>
        <w:ind w:left="0"/>
        <w:jc w:val="both"/>
      </w:pPr>
      <w:r>
        <w:rPr>
          <w:rFonts w:ascii="Times New Roman"/>
          <w:b w:val="false"/>
          <w:i w:val="false"/>
          <w:color w:val="000000"/>
          <w:sz w:val="28"/>
        </w:rPr>
        <w:t>
      код товара по ТН ВЭД ТС;</w:t>
      </w:r>
    </w:p>
    <w:p>
      <w:pPr>
        <w:spacing w:after="0"/>
        <w:ind w:left="0"/>
        <w:jc w:val="both"/>
      </w:pPr>
      <w:r>
        <w:rPr>
          <w:rFonts w:ascii="Times New Roman"/>
          <w:b w:val="false"/>
          <w:i w:val="false"/>
          <w:color w:val="000000"/>
          <w:sz w:val="28"/>
        </w:rPr>
        <w:t>
      сведения о товаре, необходимые для классификации;</w:t>
      </w:r>
    </w:p>
    <w:p>
      <w:pPr>
        <w:spacing w:after="0"/>
        <w:ind w:left="0"/>
        <w:jc w:val="both"/>
      </w:pPr>
      <w:r>
        <w:rPr>
          <w:rFonts w:ascii="Times New Roman"/>
          <w:b w:val="false"/>
          <w:i w:val="false"/>
          <w:color w:val="000000"/>
          <w:sz w:val="28"/>
        </w:rPr>
        <w:t>
      обоснование принятия решения;</w:t>
      </w:r>
    </w:p>
    <w:p>
      <w:pPr>
        <w:spacing w:after="0"/>
        <w:ind w:left="0"/>
        <w:jc w:val="both"/>
      </w:pPr>
      <w:r>
        <w:rPr>
          <w:rFonts w:ascii="Times New Roman"/>
          <w:b w:val="false"/>
          <w:i w:val="false"/>
          <w:color w:val="000000"/>
          <w:sz w:val="28"/>
        </w:rPr>
        <w:t>
      служебные отметки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