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7afa1" w14:textId="017af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Концепции создания Интегрированной информационной системы внешней и взаимной торговли Таможенного союза и первоочередных мерах по ее реализации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18 ноября 2010 года № 470. Утратило силу решением Коллегии Евразийской экономической комиссии от 17 июля 2018 года № 112.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17.07.2018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проект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Межгосударственного Совета Евразийского экономического сообщества (Высшего органа Таможенного союза) на уровне глав правительств "О Концепции создания Интегрированной информационной системы внешней и взаимной торговли Таможенного союза и первоочередных мерах по ее реализации" (прилагается).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Секретариату Комиссии Таможенного союза: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до 1 февраля 2011 года обеспечить согласование со Сторонами Технико-экономического обоснования создания и функционирования Интегрированной информационной системы внешней и взаимной торговли Таможенного союза (далее – ИИСВВТ);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первом квартале 2011 года обеспечить разработку и согласование Сторонами технического задания на создание ИИСВВТ.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 Российской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Кобяков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Шукеев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</w:t>
      </w:r>
    </w:p>
    <w:bookmarkEnd w:id="5"/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375"/>
        <w:gridCol w:w="676"/>
        <w:gridCol w:w="3249"/>
      </w:tblGrid>
      <w:tr>
        <w:trPr>
          <w:trHeight w:val="30" w:hRule="atLeast"/>
        </w:trPr>
        <w:tc>
          <w:tcPr>
            <w:tcW w:w="83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ноября 2010 г. 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2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Санкт - Петербург</w:t>
            </w:r>
          </w:p>
        </w:tc>
      </w:tr>
    </w:tbl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Концепции создания Интегрированной информационной системы</w:t>
      </w:r>
      <w:r>
        <w:br/>
      </w:r>
      <w:r>
        <w:rPr>
          <w:rFonts w:ascii="Times New Roman"/>
          <w:b/>
          <w:i w:val="false"/>
          <w:color w:val="000000"/>
        </w:rPr>
        <w:t>внешней и взаимной торговли Таможенного союза и первоочередных</w:t>
      </w:r>
      <w:r>
        <w:br/>
      </w:r>
      <w:r>
        <w:rPr>
          <w:rFonts w:ascii="Times New Roman"/>
          <w:b/>
          <w:i w:val="false"/>
          <w:color w:val="000000"/>
        </w:rPr>
        <w:t>мерах по ее реализации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исполнение Решения Межгосударственного совета ЕврАзЭС (Высшего органа Таможенного союза) на уровне глав государств от 27 ноября 2009 года № 22, положений Соглашения о создании, функционировании и развитии интегрированной информационной системы внешней и взаимной торговли Таможенного союза и Соглашения о применении информационных технологий при обмене электронными документами во внешней и взаимной торговле на единой таможенной территории Таможенного союза Межгосударственный Совет Евразийского экономического сообщества (Высший орган Таможенного союза) на уровне глав правительств решил: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Концепцию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создания Интегрированной информационной системы внешней и взаимной торговли Таможенного союза (прилагается).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Комиссии Таможенного союза утвердить Положение о Координационном совете по информационным технологиям при Комиссии таможенного союза и состав названного Совета.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Определить уполномоченными органами по созданию национальных сегментов интегрированной информационной системы внешней и взаимной торговли Таможенного союза: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Министерство связи и информатизации Республики Беларусь;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Министерство связи и информации Республики Казахстан;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Министерство связи и массовых коммуникаций Российской Федерации.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Межгосударственного Совета: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</w:tbl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Концепция создания Интегрированной</w:t>
      </w:r>
      <w:r>
        <w:br/>
      </w:r>
      <w:r>
        <w:rPr>
          <w:rFonts w:ascii="Times New Roman"/>
          <w:b/>
          <w:i w:val="false"/>
          <w:color w:val="000000"/>
        </w:rPr>
        <w:t>информационной системы внешней и взаимной</w:t>
      </w:r>
      <w:r>
        <w:br/>
      </w:r>
      <w:r>
        <w:rPr>
          <w:rFonts w:ascii="Times New Roman"/>
          <w:b/>
          <w:i w:val="false"/>
          <w:color w:val="000000"/>
        </w:rPr>
        <w:t>торговли Таможенного союза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</w:t>
      </w:r>
      <w:r>
        <w:rPr>
          <w:rFonts w:ascii="Times New Roman"/>
          <w:b w:val="false"/>
          <w:i w:val="false"/>
          <w:color w:val="000000"/>
          <w:sz w:val="28"/>
        </w:rPr>
        <w:t>1.</w:t>
      </w:r>
      <w:r>
        <w:rPr>
          <w:rFonts w:ascii="Times New Roman"/>
          <w:b w:val="false"/>
          <w:i w:val="false"/>
          <w:color w:val="000000"/>
          <w:sz w:val="28"/>
        </w:rPr>
        <w:t xml:space="preserve">   ВВЕДЕНИЕ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</w:t>
      </w:r>
      <w:r>
        <w:rPr>
          <w:rFonts w:ascii="Times New Roman"/>
          <w:b w:val="false"/>
          <w:i w:val="false"/>
          <w:color w:val="000000"/>
          <w:sz w:val="28"/>
        </w:rPr>
        <w:t>1.1.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Назначение и структура документа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</w:t>
      </w:r>
      <w:r>
        <w:rPr>
          <w:rFonts w:ascii="Times New Roman"/>
          <w:b w:val="false"/>
          <w:i w:val="false"/>
          <w:color w:val="000000"/>
          <w:sz w:val="28"/>
        </w:rPr>
        <w:t>1.2.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Общее содержание документа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</w:t>
      </w:r>
      <w:r>
        <w:rPr>
          <w:rFonts w:ascii="Times New Roman"/>
          <w:b w:val="false"/>
          <w:i w:val="false"/>
          <w:color w:val="000000"/>
          <w:sz w:val="28"/>
        </w:rPr>
        <w:t>1.3.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Правовые основы Концепции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</w:t>
      </w:r>
      <w:r>
        <w:rPr>
          <w:rFonts w:ascii="Times New Roman"/>
          <w:b w:val="false"/>
          <w:i w:val="false"/>
          <w:color w:val="000000"/>
          <w:sz w:val="28"/>
        </w:rPr>
        <w:t>2.</w:t>
      </w:r>
      <w:r>
        <w:rPr>
          <w:rFonts w:ascii="Times New Roman"/>
          <w:b w:val="false"/>
          <w:i w:val="false"/>
          <w:color w:val="000000"/>
          <w:sz w:val="28"/>
        </w:rPr>
        <w:t xml:space="preserve">   ЦЕЛИ И ЗАДАЧИ ПОСТРОЕНИЯ СИСТЕМЫ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</w:t>
      </w:r>
      <w:r>
        <w:rPr>
          <w:rFonts w:ascii="Times New Roman"/>
          <w:b w:val="false"/>
          <w:i w:val="false"/>
          <w:color w:val="000000"/>
          <w:sz w:val="28"/>
        </w:rPr>
        <w:t>2.1.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Цель создания Системы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</w:t>
      </w:r>
      <w:r>
        <w:rPr>
          <w:rFonts w:ascii="Times New Roman"/>
          <w:b w:val="false"/>
          <w:i w:val="false"/>
          <w:color w:val="000000"/>
          <w:sz w:val="28"/>
        </w:rPr>
        <w:t>2.2.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Задачи Системы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</w:t>
      </w:r>
      <w:r>
        <w:rPr>
          <w:rFonts w:ascii="Times New Roman"/>
          <w:b w:val="false"/>
          <w:i w:val="false"/>
          <w:color w:val="000000"/>
          <w:sz w:val="28"/>
        </w:rPr>
        <w:t>3.</w:t>
      </w:r>
      <w:r>
        <w:rPr>
          <w:rFonts w:ascii="Times New Roman"/>
          <w:b w:val="false"/>
          <w:i w:val="false"/>
          <w:color w:val="000000"/>
          <w:sz w:val="28"/>
        </w:rPr>
        <w:t xml:space="preserve">   Краткая характеристика текущего состояния информатизации государств-членов в области внешней и взаимной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</w:t>
      </w:r>
      <w:r>
        <w:rPr>
          <w:rFonts w:ascii="Times New Roman"/>
          <w:b w:val="false"/>
          <w:i w:val="false"/>
          <w:color w:val="000000"/>
          <w:sz w:val="28"/>
        </w:rPr>
        <w:t>4.</w:t>
      </w:r>
      <w:r>
        <w:rPr>
          <w:rFonts w:ascii="Times New Roman"/>
          <w:b w:val="false"/>
          <w:i w:val="false"/>
          <w:color w:val="000000"/>
          <w:sz w:val="28"/>
        </w:rPr>
        <w:t xml:space="preserve">   Основные требования к Системе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</w:t>
      </w:r>
      <w:r>
        <w:rPr>
          <w:rFonts w:ascii="Times New Roman"/>
          <w:b w:val="false"/>
          <w:i w:val="false"/>
          <w:color w:val="000000"/>
          <w:sz w:val="28"/>
        </w:rPr>
        <w:t>5.</w:t>
      </w:r>
      <w:r>
        <w:rPr>
          <w:rFonts w:ascii="Times New Roman"/>
          <w:b w:val="false"/>
          <w:i w:val="false"/>
          <w:color w:val="000000"/>
          <w:sz w:val="28"/>
        </w:rPr>
        <w:t xml:space="preserve">   Архитектура системы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</w:t>
      </w:r>
      <w:r>
        <w:rPr>
          <w:rFonts w:ascii="Times New Roman"/>
          <w:b w:val="false"/>
          <w:i w:val="false"/>
          <w:color w:val="000000"/>
          <w:sz w:val="28"/>
        </w:rPr>
        <w:t>6.</w:t>
      </w:r>
      <w:r>
        <w:rPr>
          <w:rFonts w:ascii="Times New Roman"/>
          <w:b w:val="false"/>
          <w:i w:val="false"/>
          <w:color w:val="000000"/>
          <w:sz w:val="28"/>
        </w:rPr>
        <w:t xml:space="preserve">   Сроки и этапы создания системы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</w:t>
      </w:r>
      <w:r>
        <w:rPr>
          <w:rFonts w:ascii="Times New Roman"/>
          <w:b w:val="false"/>
          <w:i w:val="false"/>
          <w:color w:val="000000"/>
          <w:sz w:val="28"/>
        </w:rPr>
        <w:t>7.</w:t>
      </w:r>
      <w:r>
        <w:rPr>
          <w:rFonts w:ascii="Times New Roman"/>
          <w:b w:val="false"/>
          <w:i w:val="false"/>
          <w:color w:val="000000"/>
          <w:sz w:val="28"/>
        </w:rPr>
        <w:t xml:space="preserve">   Нормативная база создания Системы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</w:t>
      </w:r>
      <w:r>
        <w:rPr>
          <w:rFonts w:ascii="Times New Roman"/>
          <w:b w:val="false"/>
          <w:i w:val="false"/>
          <w:color w:val="000000"/>
          <w:sz w:val="28"/>
        </w:rPr>
        <w:t>8.</w:t>
      </w:r>
      <w:r>
        <w:rPr>
          <w:rFonts w:ascii="Times New Roman"/>
          <w:b w:val="false"/>
          <w:i w:val="false"/>
          <w:color w:val="000000"/>
          <w:sz w:val="28"/>
        </w:rPr>
        <w:t xml:space="preserve">   Обеспечение информационной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</w:t>
      </w:r>
      <w:r>
        <w:rPr>
          <w:rFonts w:ascii="Times New Roman"/>
          <w:b w:val="false"/>
          <w:i w:val="false"/>
          <w:color w:val="000000"/>
          <w:sz w:val="28"/>
        </w:rPr>
        <w:t>9.</w:t>
      </w:r>
      <w:r>
        <w:rPr>
          <w:rFonts w:ascii="Times New Roman"/>
          <w:b w:val="false"/>
          <w:i w:val="false"/>
          <w:color w:val="000000"/>
          <w:sz w:val="28"/>
        </w:rPr>
        <w:t xml:space="preserve">   Организационные мероприятия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</w:t>
      </w:r>
      <w:r>
        <w:rPr>
          <w:rFonts w:ascii="Times New Roman"/>
          <w:b w:val="false"/>
          <w:i w:val="false"/>
          <w:color w:val="000000"/>
          <w:sz w:val="28"/>
        </w:rPr>
        <w:t xml:space="preserve">  Предложения по объемам и источникам финансирования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</w:t>
      </w:r>
      <w:r>
        <w:rPr>
          <w:rFonts w:ascii="Times New Roman"/>
          <w:b w:val="false"/>
          <w:i w:val="false"/>
          <w:color w:val="000000"/>
          <w:sz w:val="28"/>
        </w:rPr>
        <w:t xml:space="preserve">  Ожидаемый эффект</w:t>
      </w:r>
    </w:p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ВВЕДЕНИЕ</w:t>
      </w:r>
      <w:r>
        <w:br/>
      </w:r>
      <w:r>
        <w:rPr>
          <w:rFonts w:ascii="Times New Roman"/>
          <w:b/>
          <w:i w:val="false"/>
          <w:color w:val="000000"/>
        </w:rPr>
        <w:t>1.1. Назначение и структура документа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Концепция раскрывает общее видение процесса создания Интегрированной информационной системы внешней и взаимной торговли Таможенного союза (далее - Система).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Концепция учитывает мировой опыт и сложившуюся практику обеспечения унификации и стандартизации процессов информационного взаимодействия между гражданами, организациями и государственными органами. Концепция направлена на реализацию совместных усилий обеспечения выгод и экономических интересов всех государств - членов Таможенного союза (далее - государства-члены).</w:t>
      </w:r>
    </w:p>
    <w:bookmarkEnd w:id="18"/>
    <w:bookmarkStart w:name="z2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1.2. Общее содержание документа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Концепция содержит общие цели, задачи, подходы и принципы решения вопросов создания Системы.</w:t>
      </w:r>
    </w:p>
    <w:bookmarkEnd w:id="20"/>
    <w:bookmarkStart w:name="z2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1.3. Правовые основы Концепции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Концепция разработана на основе Решения Комиссии Таможенного союза от 25 июня 2009 года №61 "О разработке Комплекса мероприятий по созданию интегрированной информационной системы внешней и взаимной торговли".</w:t>
      </w:r>
    </w:p>
    <w:bookmarkEnd w:id="22"/>
    <w:bookmarkStart w:name="z2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ЦЕЛИ И ЗАДАЧИ ПОСТРОЕНИЯ СИСТЕМЫ</w:t>
      </w:r>
      <w:r>
        <w:br/>
      </w:r>
      <w:r>
        <w:rPr>
          <w:rFonts w:ascii="Times New Roman"/>
          <w:b/>
          <w:i w:val="false"/>
          <w:color w:val="000000"/>
        </w:rPr>
        <w:t>2.1. Цель создания Системы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Целью создания Системы являются обеспечение эффективного регулирования внешней и взаимной торговли на таможенной территории Таможенного союза, осуществление таможенного, налогового, транспортного и других видов государственного контроля с использованием информационных телекоммуникационных технологий при перемещении товаров и транспортных средств через таможенную границу.</w:t>
      </w:r>
    </w:p>
    <w:bookmarkEnd w:id="24"/>
    <w:bookmarkStart w:name="z2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2.2. Задачи Системы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Указанная цель достигается решением следующих задач: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создание и ведение единой системы нормативно-справочной информации внешней и взаимной торговли Таможенного союза;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формирование интегрированной информационной структуры межгосударственного обмена данными и электронными документами на таможенной территории Таможенного союза;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создание общих для государств-членов интегрирующих элементов и пополняемых централизованных информационных ресурсов;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организация информационного взаимодействия органов государств-членов для обеспечения полноты собираемости таможенных платежей, налогов и сборов;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информационное обеспечение контроля международного таможенного транзита;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обеспечение возможности реализации механизмов предварительного информирования и электронного декларирования;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организация информационного взаимодействия органов, осуществляющих государственный контроль (фито-санитарный, ветеринарный, санитарно-карантинный, транспортный, экспортный и другие) на таможенной территории Таможенного союза;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обеспечение информационного взаимодействия на основе межгосударственных и межведомственных соглашений;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обеспечение органов, осуществляющих государственный контроль, информацией, необходимой и достаточной для осуществления всех видов государственного контроля при перемещении товаров через таможенную границу Таможенного союза;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обеспечение персональной идентификации и разграничения доступа к информации на принципах унификации;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обеспечение доступа к нормативным правовым актам государств-членов Таможенного союза в области внешней и взаимной торговли.</w:t>
      </w:r>
    </w:p>
    <w:bookmarkEnd w:id="37"/>
    <w:bookmarkStart w:name="z42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Краткая характеристика текущего состояния информатизации</w:t>
      </w:r>
      <w:r>
        <w:br/>
      </w:r>
      <w:r>
        <w:rPr>
          <w:rFonts w:ascii="Times New Roman"/>
          <w:b/>
          <w:i w:val="false"/>
          <w:color w:val="000000"/>
        </w:rPr>
        <w:t>государств-членов в области внешней и взаимной торговли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таможенные, налоговые и другие контролирующие органы государств-членов активно ведут работы по созданию и развитию национальных информационных систем, направленных на автоматизацию ключевых процессов государственного регулирования в области внешней и взаимной торговли. Одновременно таможенные органы Республики Беларусь и Российской Федерации реализуют взаимодействие, в том числе информационное, в рамках Союзного государства. Также работы по созданию общих информационных систем ведутся в рамках ЕврАзЭС.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Работы по развитию национальных систем проводятся государствами - членами в рамках собственных планов в соответствии с действующими на их территории нормативными правовыми актами и выбранными технологическими и архитектурными решениями и опираются на использование собственных и международных справочников и классификаторов. Важным свойством каждой системы является использование системы обеспечения информационной безопасности, разработанной в соответствии с законодательством государств-членов.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этой связи эффективное решение задачи надҰжной интеграции информационных систем в рамках Таможенного союза возможно на основе создания интеграционных сегментов, поддерживающих процессы информационного взаимодействия государственных органов государств-членов, регулирующих внешнюю и взаимную торговлю и использующих единую систему справочников и классификаторов, обеспечивающих признаваемую всеми участниками юридическую значимость пересылаемых данных и электронных документов.</w:t>
      </w:r>
    </w:p>
    <w:bookmarkEnd w:id="41"/>
    <w:bookmarkStart w:name="z46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Основные требования к Системе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Система является организационной совокупностью территориально распределенных государственных информационных ресурсов и информационных систем государственных органов государств-членов, регулирующих внешнюю и взаимную торговлю, объединяемых интеграционными сегментами.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требования к построению Системы: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Система не должна подменять национальные системы государств-членов;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Система не должна требовать от государств-членов внесения изменений в средства обеспечения информационной безопасности информационных систем государственных органов, регулирующих внешнюю и взаимную торговлю;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Системе должен поддерживаться регламентированный доступ участников к общим информационным ресурсам, необходимым для межгосударственного взаимодействия государственных органов, регулирующих внешнюю и взаимную торговлю в рамках Системы;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архитектура Системы должна предусматривать возможность информационного взаимодействия с внешними информационными системами;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Система должна обеспечивать сбор, обработку и хранение регламентированной информации о внешней и взаимной торговле;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Система должна обеспечивать соблюдение требований, предъявляемых к документам, таких как аутентичность, достоверность, целостность, пригодность для использования в соответствии с международным стандартом ISO 15489-1:2001 Information and documentation. Records management. General;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Система должна предоставлять возможность обмена данными и электронными документами, имеющими юридическую силу (или взаимно признаваемыми как таковые);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Система должна обеспечивать обмен юридически значимыми электронными документами на основе доверенных сервисов в соответствии с международными рекомендациями ITU-T серия X.842 (Информационные технологии - Методы защиты - Руководящие указания по применению и управлению службами доверенной третьей стороны).</w:t>
      </w:r>
    </w:p>
    <w:bookmarkEnd w:id="52"/>
    <w:bookmarkStart w:name="z57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Архитектура системы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Создаваемая Система должна состоять из центрального узла Комиссии Таможенного союза (далее - Комиссия) и узлов, разворачиваемых в каждом государстве-члене (рис. 1).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между всеми узлами Системы обеспечивается за счет создания и использования интеграционных сегментов, представляющих собой совокупность защищенной системы передачи данных и интеграционных шлюзов, входящих в состав каждого из узлов Системы.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Интеграционный шлюз - программно-аппаратный комплекс, обеспечивающий взаимодействие межгосударственных и межведомственных информационных систем при обмене данных.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9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9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Интеграция услуг и сервисов, предоставляемых Системой уполномоченным органам государств-членов, организуется на принципах сервисно-ориентированной архитектуры (SOA) с использованием различных технологий, в том числе: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удаленного web-доступа пользователей к централизованным инфомационным ресурсам;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web-служб и маршрутизации сообщений для взаимодействия прикладных процессов.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Архитектура Системы представляет собой совокупность иерархической и сетевой моделей.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иерархической модели поддерживается формирование и использование следующих централизованных информационных ресурсов: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нормативно-справочная информация, находящаяся в ведении Комиссии и используемая в Системе;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нормативно-правовая информация Таможенного союза;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хранилище данных, предназначенное для обеспечения деятельности Комиссии.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Хранилище данных - интегрированный информационный ресурс Системы, обеспечивающий сбор и обработку информации, организацию эффективного хранения и быстрого доступа к ней.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сетевой модели поддерживается реализация "общих процессов Таможенного союза" по следующим направлениям: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таможенный контроль;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налоговый контроль;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фито-санитарный контроль;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ветеринарный контроль;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санитарно-карантинный контроль;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транспортный контроль;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другие виды государственного контроля в области внешней и взаимной торговли.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термином "общие процессы Таможенного союза" понимаются операции и процедуры, регламентированные (установленные) законодательством Таможенного союза и законодательствами государств-членов, которые начинаются на территории одного из государств-членов, а заканчиваются (изменяются) на территории другого государства-члена.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поддерживаемых Системой общих процессов Таможенного союза разрабатывается на этапе эскизного проектирования Системы и может уточняться по результатам реализации компонентов Системы. Состав сведений, используемых при реализации общих процессов Таможенного союза, формируется на базе используемых в национальных информационных системах первичной информации (грузовые таможенные декларации, транзитные декларации, заявления о ввозе товаров и уплате косвенных налогов, лицензии, справки, разрешения, сертификаты и прочие документы), а также информации, содержащейся в межгосударственных и межведомственных соглашениях (протоколах) об информационном взаимодействии между органами государств-членов, участвующими в регулировании внешней и взаимной торговли.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унификации применяемых организационных и технических решений при создании и развитии Системы и ее компонент, обеспечения надлежащего уровня защиты информации Секретариат Комиссии организует разработку необходимых технических нормативных правовых актов.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поддержки функционирования и эксплуатации интеграционного сегмента Системы в каждом государстве-члене назначается уполномоченный орган.</w:t>
      </w:r>
    </w:p>
    <w:bookmarkEnd w:id="77"/>
    <w:bookmarkStart w:name="z82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Сроки и этапы создания системы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создания Интегрированной информационной системы внешней и взаимной торговли Таможенного союза необходимо выполнить двухэтапный комплекс следующих мероприятий: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этап: "Создание первой очереди ИИСВВТ":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разработка положений о структурном подразделении в составе Секретариата Комиссии и нормативных правовых и методических документов его взаимодействия с органами, регулирующими внешнюю и взаимную торговлю Таможенного союза;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разработка технико-экономического обоснования и эскизного проекта по созданию ИИСВВТ;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создание информационно-телекоммуникационной и вычислительной инфраструктуры Комиссии;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разработка соглашений, порядка и правил обеспечения информационной безопасности ИИСВВТ;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создание подсистемы нормативно-справочной информации и нормативно-технической документации, подсистемы правовых и разрешительных документов;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создание автоматизированной системы статистики внешней и взаимной торговли Таможенного союза;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разработка и согласование форм документов, сообщений, форматов данных, регламентов, стандартов и правил, определяющих интерфейсы информационного взаимодействия;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создание интеграционных сегментов, портала и прикладных подсистем ИИСВВТ, необходимых для обеспечения работы Комиссии;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создание сетевых сегментов межгосударственного и межведомственного информационного взаимодействия в рамках Таможенного союза.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этап: "Создание второй очереди ИИСВВТ":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разработка проектной и техно-рабочей документации по созданию второй очереди ИИСВВТ;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разработка информационных подсистем для автоматизации общих процессов Таможенного союза, определенных на этапе разработки эскизного проекта ИИСВВТ;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развитие интеграционных сегментов, портала и прикладных подсистем ИИСВВТ, необходимых для обеспечения работы Комиссии;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развитие сетевых сегментов межгосударственного и межведомственного информационного взаимодействия в рамках Таможенного союза, в том числе с использованием услуг "доверенной третьей стороны". Функции и принципы деятельности "доверенной третьей стороны" должны быть определены Соглашением о применении информационных технологий при обмене электронными документами во внешней и взаимной торговле на таможенной территории Таможенного союза, указанным в разделе 7.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реализации и стоимость мероприятий должны быть определены в технико-экономическом обосновании Системы.</w:t>
      </w:r>
    </w:p>
    <w:bookmarkEnd w:id="95"/>
    <w:bookmarkStart w:name="z100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Нормативная база создания Системы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нормативного обеспечения процесса создания Системы необходимо принять следующие документы: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o Соглашение о создании, функционировании и развитии интегрированной информационной системы внешней и взаимной торговли Таможенного союза;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Таможенный кодекс Таможенного союза;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Соглашение о применении информационных технологий при обмене электронными документами во внешней и взаимной торговле на таможенной территории Таможенного союза;</w:t>
      </w:r>
    </w:p>
    <w:bookmarkEnd w:id="100"/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нормативные документы (правила) для организационного обеспечения функционирования Системы.</w:t>
      </w:r>
    </w:p>
    <w:bookmarkEnd w:id="101"/>
    <w:bookmarkStart w:name="z106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Обеспечение информационной безопасности</w:t>
      </w:r>
    </w:p>
    <w:bookmarkEnd w:id="102"/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необходимого уровня информационной безопасности информационных подсистем и ресурсов, их целостности и конфиденциальности основано на применении единых требований защиты информации от несанкционированного доступа или изменения, воздействия компьютерных атак и вирусов, а также на использовании сертифицированных средств предупреждения и обнаружения компьютерных атак и защиты информации, разрабатываемых и производимых организациями, получившими в установленном порядке необходимые лицензии.</w:t>
      </w:r>
    </w:p>
    <w:bookmarkEnd w:id="103"/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использования и защита Системы от несанкционированных действий должны обеспечиваться на основе создания комплексной системы мониторинга и учета операций при работе с государственными информационными системами и ресурсами.</w:t>
      </w:r>
    </w:p>
    <w:bookmarkEnd w:id="104"/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направлениями повышения уровня защищенности объектов общей информационно-технологической инфраструктуры являются:</w:t>
      </w:r>
    </w:p>
    <w:bookmarkEnd w:id="105"/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обеспечение комплексного подхода к решению задач информационной безопасности с учетом необходимости дифференцирования ее уровней;</w:t>
      </w:r>
    </w:p>
    <w:bookmarkEnd w:id="106"/>
    <w:bookmarkStart w:name="z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разработка общей модели угроз информационной безопасности;</w:t>
      </w:r>
    </w:p>
    <w:bookmarkEnd w:id="107"/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определение технических требований и критериев определения критических объектов интегрированной информационно-технологической инфраструктуры;</w:t>
      </w:r>
    </w:p>
    <w:bookmarkEnd w:id="108"/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создание реестра критически важных объектов, разработка мер по их защите и средств надзора за соблюдением соответствующих требований;</w:t>
      </w:r>
    </w:p>
    <w:bookmarkEnd w:id="109"/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обеспечение эффективного мониторинга состояния информационной безопасности;</w:t>
      </w:r>
    </w:p>
    <w:bookmarkEnd w:id="110"/>
    <w:bookmarkStart w:name="z1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совершенствование нормативной правовой и методической базы в области защиты информационных систем и ресурсов;</w:t>
      </w:r>
    </w:p>
    <w:bookmarkEnd w:id="111"/>
    <w:bookmarkStart w:name="z1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развитие средств защиты информации, систем обеспечения безопасности электронного документооборота, системы контроля действий государственных служащих по работе с информацией;</w:t>
      </w:r>
    </w:p>
    <w:bookmarkEnd w:id="112"/>
    <w:bookmarkStart w:name="z11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развитие и совершенствование защищенных средств обработки информации общего применения, систем удостоверяющих центров в области электронной цифровой подписи, а также систем их аудита.</w:t>
      </w:r>
    </w:p>
    <w:bookmarkEnd w:id="113"/>
    <w:bookmarkStart w:name="z11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Субъектами юридически значимого информационного обмена в рамках Таможенного союза выступают национальные системы, а ответственность за подлинность и защиту информации при ее движении от пограничных пунктов до шлюза между национальной системой и Системой несет государство-член. Особенностью такого подхода является то, что система сможет функционировать как система обмена сообщениями и электронными документами в рамках Таможенного союза до того, как национальные системы будут приведены в соответствие с Таможенным кодексом Таможенного союза.</w:t>
      </w:r>
    </w:p>
    <w:bookmarkEnd w:id="114"/>
    <w:bookmarkStart w:name="z119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Организационные мероприятия</w:t>
      </w:r>
    </w:p>
    <w:bookmarkEnd w:id="115"/>
    <w:bookmarkStart w:name="z12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и эксплуатация Системы требует наличия соответствующей структуры в Комиссии и регламента еҰ работы, согласованного Сторонами. Все дальнейшие работы должны будут проводиться по заказу этого органа. Права и обязанности этой структуры должны быть определены Соглашением о создании, функционировании и развитии интегрированной информационной системы внешней и взаимной торговли Таможенного союза, указанным в разделе 7.</w:t>
      </w:r>
    </w:p>
    <w:bookmarkEnd w:id="116"/>
    <w:bookmarkStart w:name="z121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Предложения по объемам и источникам финансирования</w:t>
      </w:r>
    </w:p>
    <w:bookmarkEnd w:id="117"/>
    <w:bookmarkStart w:name="z12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и источники финансирования создания Системы определяются в соответствии с международным договором о создании, функционировании и развитии интегрированной информационной системы внешней и взаимной торговли Таможенного союза.</w:t>
      </w:r>
    </w:p>
    <w:bookmarkEnd w:id="118"/>
    <w:bookmarkStart w:name="z123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11. Ожидаемый эффект</w:t>
      </w:r>
    </w:p>
    <w:bookmarkEnd w:id="119"/>
    <w:bookmarkStart w:name="z12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Представляется, что создание Системы позволит достичь следующих положительных результаты:</w:t>
      </w:r>
    </w:p>
    <w:bookmarkEnd w:id="120"/>
    <w:bookmarkStart w:name="z12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восстановление нарушенных экономических связей и развитие экономической интеграции на таможенной территории Таможенного союза;</w:t>
      </w:r>
    </w:p>
    <w:bookmarkEnd w:id="121"/>
    <w:bookmarkStart w:name="z12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сокращение экономических и административных барьеров во взаимной торговле;</w:t>
      </w:r>
    </w:p>
    <w:bookmarkEnd w:id="122"/>
    <w:bookmarkStart w:name="z12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ускорение и рост товарооборота между государствами-членами и транзита по их территории;</w:t>
      </w:r>
    </w:p>
    <w:bookmarkEnd w:id="123"/>
    <w:bookmarkStart w:name="z12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улучшение экономических показателей внешней и взаимной торговли в результате использования интегрированных информационных ресурсов.</w:t>
      </w:r>
    </w:p>
    <w:bookmarkEnd w:id="124"/>
    <w:bookmarkStart w:name="z12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Системы позволит осуществлять мониторинг внешней и взаимной торговли на таможенной территории Таможенного союза.</w:t>
      </w:r>
    </w:p>
    <w:bookmarkEnd w:id="125"/>
    <w:bookmarkStart w:name="z13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Система позволит наладить постоянное информационное взаимодействие с другими информационными системами государств-членов и обеспечит:</w:t>
      </w:r>
    </w:p>
    <w:bookmarkEnd w:id="126"/>
    <w:bookmarkStart w:name="z13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устойчивый и постоянный обмен информацией между таможенными и другими контролирующими органами;</w:t>
      </w:r>
    </w:p>
    <w:bookmarkEnd w:id="127"/>
    <w:bookmarkStart w:name="z13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оптимизацию применения форм государственного контроля без снижения его качества при осуществлении внешней и взаимной торговли;</w:t>
      </w:r>
    </w:p>
    <w:bookmarkEnd w:id="128"/>
    <w:bookmarkStart w:name="z13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повышение оперативности предоставления и уровня непротиворечивости информации о процессах внешней и взаимной торговли;</w:t>
      </w:r>
    </w:p>
    <w:bookmarkEnd w:id="129"/>
    <w:bookmarkStart w:name="z13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сокращение времени на выполнение контрольных операций;</w:t>
      </w:r>
    </w:p>
    <w:bookmarkEnd w:id="130"/>
    <w:bookmarkStart w:name="z13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повышение уровня информационной безопасности;</w:t>
      </w:r>
    </w:p>
    <w:bookmarkEnd w:id="131"/>
    <w:bookmarkStart w:name="z13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прозрачность условий транзита товаров из третьих стран в третьи страны через таможенную территорию, создающую высокие конкурентные условия для государств-членов в этой сфере;</w:t>
      </w:r>
    </w:p>
    <w:bookmarkEnd w:id="132"/>
    <w:bookmarkStart w:name="z13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единообразие методологии организации и осуществления таможенного контроля и применение при этом единого состава документов;</w:t>
      </w:r>
    </w:p>
    <w:bookmarkEnd w:id="133"/>
    <w:bookmarkStart w:name="z13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функционирование единой системы статистической отчетности внешней и взаимной торговли;</w:t>
      </w:r>
    </w:p>
    <w:bookmarkEnd w:id="134"/>
    <w:bookmarkStart w:name="z13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повышение эффективности борьбы с контрабандой на таможенной территории Таможенного союза.</w:t>
      </w:r>
    </w:p>
    <w:bookmarkEnd w:id="135"/>
    <w:bookmarkStart w:name="z14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Основной ожидаемый эффект от создания Системы:</w:t>
      </w:r>
    </w:p>
    <w:bookmarkEnd w:id="136"/>
    <w:bookmarkStart w:name="z14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единообразное применение мер тарифного и нетарифного регулирования, специальных защитных, антидемпинговых и компенсационных мер на таможенной территории Таможенного союза;</w:t>
      </w:r>
    </w:p>
    <w:bookmarkEnd w:id="137"/>
    <w:bookmarkStart w:name="z14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обеспечение единого торгового режима в отношении третьих стран;</w:t>
      </w:r>
    </w:p>
    <w:bookmarkEnd w:id="138"/>
    <w:bookmarkStart w:name="z14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своевременное и обоснованное взыскание и уплата налогов и таможенных пошлин;</w:t>
      </w:r>
    </w:p>
    <w:bookmarkEnd w:id="139"/>
    <w:bookmarkStart w:name="z14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централизованный учет и контроль применения льгот, лицензий, квот, санитарных и ветеринарных сертификатов и т.п.;</w:t>
      </w:r>
    </w:p>
    <w:bookmarkEnd w:id="140"/>
    <w:bookmarkStart w:name="z14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обеспечение Комиссии и руководства государств-членов всеми видами статистического наблюдения и анализа внешней и взаимной торговли Таможенного союза.</w:t>
      </w:r>
    </w:p>
    <w:bookmarkEnd w:id="141"/>
    <w:bookmarkStart w:name="z14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Системы будет содействовать реализации политики внешней торговли Таможенного союза.</w:t>
      </w:r>
    </w:p>
    <w:bookmarkEnd w:id="14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