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e0f1" w14:textId="0b6e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нормативные акты Комиссии Таможенного союза в области применения 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(прилагаются);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Единые санитарно-эпидемиологические и гигиенические требования к товарам, подлежащим санитарно-эпидемиологическому надзору (контролю),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2010 года № 456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Единый перечень товаров, подлежащих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санитарно-эпидемиологическому надзору (контролю) на таможенной</w:t>
      </w:r>
      <w:r>
        <w:br/>
      </w:r>
      <w:r>
        <w:rPr>
          <w:rFonts w:ascii="Times New Roman"/>
          <w:b/>
          <w:i w:val="false"/>
          <w:color w:val="000000"/>
        </w:rPr>
        <w:t>
границе и таможенной территории Таможенного союза, утвержденный</w:t>
      </w:r>
      <w:r>
        <w:br/>
      </w:r>
      <w:r>
        <w:rPr>
          <w:rFonts w:ascii="Times New Roman"/>
          <w:b/>
          <w:i w:val="false"/>
          <w:color w:val="000000"/>
        </w:rPr>
        <w:t>
Решением Комиссии Таможенного союза от 28 мая 2010 года № 299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разделе II тринадцатый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«Сырье, активно действующие вещества, предназначенные изготовителем (производителем) исключительно для производства парфюмерно-косметической продукции, средств бытовой химии, средств защиты растений и средств дезинфекции, дезинсекции и дератизации, а также продукции фармацевтической промышленности, не подлежит государственной регистрации.».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Раздел III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«- гуманитарная помощь.».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2010 года № 456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Единые санитарно-эпидемиологические и гигиенические</w:t>
      </w:r>
      <w:r>
        <w:br/>
      </w:r>
      <w:r>
        <w:rPr>
          <w:rFonts w:ascii="Times New Roman"/>
          <w:b/>
          <w:i w:val="false"/>
          <w:color w:val="000000"/>
        </w:rPr>
        <w:t>
требования к товарам, подлежащим санитарно-эпидемиологическому</w:t>
      </w:r>
      <w:r>
        <w:br/>
      </w:r>
      <w:r>
        <w:rPr>
          <w:rFonts w:ascii="Times New Roman"/>
          <w:b/>
          <w:i w:val="false"/>
          <w:color w:val="000000"/>
        </w:rPr>
        <w:t>
надзору (контролю), утвержденные Решением Комиссии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от 28 мая 2010 года № 299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Единые санитарно-эпидемиологические и гигиенические требования к товарам, подлежащим санитарно-эпидемиологическому надзору (контролю) (далее – Единые санитарные требования),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статью 2 Главы I после четвертого абзаца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«Типовой образец – представитель, выбранный из номенклатуры однотипной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продукции, изготовленной одним производителем по одному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технологическому процессу, имеющей одинаковый сырьевой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компонентный состав и область применения. Количество типовых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 составлять не менее 30% от перечня заявленной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исследований продукции.».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статью 4 Главы I пунктом 4.6. следующего содержания: «При проведении исследований допускается использование типового образца от группы товаров. Критерии определения типового образца изложены в статье 2 «Термины и определения». Дополнительные критерии определения типового образца по отдельным группам товаров изложены в соответствующих разделах Главы II, содержащих требования безопасности к соответствующей группе товаров. Если дополнительные критерии по соответствующей группе товаров не определены, исследователь руководствуется вышеозначенным определением.».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1 «Требования к безопасности и пищевой ценности продуктов питания» Главы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В подразделе 1.5. «Гигиенические требования безопасности и пищевой ценности»: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3.1.1. в пункте 37 третье предложение изложить в следующей редакции: «Контроль за содержанием диоксинов проводится изготовителем (поставщиком, импортером) и (или) уполномоченным органом надзора (контроля) только в случаях ухудшения экологической ситуации, связанной с авариями, техногенными и природными катастрофами, приводящими к образованию и попаданию диоксинов в окружающую среду, и обоснованного предположения о возможном их наличии в продовольственном сырье.».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3.1.2. в пункте 43 третье предложение изложить в следующей редакции: «Не допускается присутствие бенз(а)пирена в продуктах детского и диетического питания, для которых установлены соответствующие требования.».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3.1.3. пункт 47 изложить в следующей редакции: «В пищевых продуктах не допускается наличие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согласно приложению 1 настоящих Единых требований. Для пищевых продуктов, для которых приложением 1 критерии отсутствия патогенных микроорганизмов не установлены, их определение в массе (объеме) 25 г (см3) осуществляется при ухудшении эпидситуации в регионе производства, обусловленной данным продуктом.».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В таблицах: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3.2.1. пункт 4.6. по показателю «Ингибитор трипсина» дополнить примечанием «лабораторный контроль показателя осуществляется при наличии метода контроля, утвержденного в установленном порядке»;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3.2.2. в пункте 6.11. в графе 3 «Допустимые уровни, мг/кг, не более» по строке «патулин» из текста «0,05 (соковая продукция из яблок, томатов, облепихи, калины и концентраты» исключить слова: «и концентраты»;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3.2.3 в пунктах 8.2. и 8.2.2. в графе 1 «Напитки безалкогольные, в том числе сокосодержащие...» слово «сокосодержащие» заменить на слова «с соком»;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3.2.4. в пункте 8.4.3. «Пиво пастеризованное и обеспложенное» по показателю «КМАФАнМ» единицу измерения изменить на «КОЕ/см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», вместо «КОЕ/100см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»; по показателям «Дрожжи и плесени» единицу измерения изменить на «объем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в котором не допускаются»;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3.2.5. пункт 9.1. по показателю «Ингибитор трипсина» дополнить примечанием «лабораторный контроль показателя осуществляется при наличии метода контроля, утвержденного в установленном порядке»;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3.2.6. пункт 9.4. по показателю «Ингибитор трипсина» дополнить примечанием «лабораторный контроль показателя осуществляется при наличии метода контроля, утвержденного в установленном порядке»;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3.2.7. пункт 9.5. «- напитки, в т.ч. сквашенные; тофу и окара» по показателю «Ингибитор трипсина» дополнить примечанием «лабораторный контроль показателя осуществляется при наличии метода контроля, утвержденного в установленном порядке»;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3.2.8. пункт 10.2. по подпункту « -БАД на основе растительных масел» дополнить показателем «патогенные, в т.ч. сальмонеллы в 10г - не допускаются»;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3.2.9. пункт 10.2. по подпункту «- БАД на основе рыбного жира» дополнить показателем «патогенные, в т.ч. сальмонеллы в 10г - не допускаются»;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3.2.10. в пункте 11.3. в таблице «1) Пищевая ценность (в 100 г продукта)»: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наименовании показателя «Массовая доля растворимых сухих веществ (соки)» исключить слово «(соки)»;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«Массовая доля растворимых сухих веществ» в графе «Единицы измерения» исключить слова «не менее»; в графе «Допустимые уровни, нормируемые» заменить значение «5» следующими значениями с соответствующими комментариями в графе «Примечания»: «4-16 – для соковой продукции из фруктов и такой продукции с добавлением овощей; 4-10 - для соковой продукции из овощей и такой продукции с добавлением фруктов, за исключением тыквы и моркови; 4-11- для соковой продукции из тыквы и моркови и такой продукции с добавлением фруктов»;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включить в графу «Критерии и показатели» показатель «Добавленный сахар» со следующими значениями и соответствующими комментариями в графе «Примечания»: «Не допускается – для соков из фруктов, а также для овощных соков прямого отжима; 10 - для нектаров и сокосодержащих напитков; 12 – для морсов»;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«аскорбиновая кислота (С)» в графе «Допустимые уровни, нормируемые» заменить значения «15-30» значением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«Единицы измерения» после слова «мг» добавить слова «не более»;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3.2.11. пункт 12.1.1. дополнить примечанием в следующей редакции: «4 - лабораторный контроль мальтодекстина и нуклеотидов осуществляется при наличии метода контроля, утвержденного в установленном порядке»;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3.2.12.1. в пункте 12.3.: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3.2.12.1. наименование пункта изложить в редакции: «Продукты на плодоовощной основе, плодоовощные консервы (фруктовые, овощные и фруктово-овощные соки, нектары и напитки, морсы, пюреобразные продукты на фруктовой и (или) овощной основе, фруктово-молочные и фруктово-зерновые пюре)»;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3.2.12.2. в таблице «1) Пищевая ценность (в 100 г продукта)»: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«массовая доля растворимых сухих веществ» на уровне 4-16, в графе «Примечание» после слов «с добавлением овощей» исключить слова «овощей, овощей с добавлением фруктов»;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«массовая доля растворимых сухих веществ» на уровне 4-10, текст в графе «Примечание» изложить в следующей редакции: «для соковой продукции из овощей и для такой продукции с добавлением фруктов, за исключением тыквы и моркови»;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«массовая доля растворимых сухих веществ» на уровне 4-25, текст в графе «Примечание» изложить в следующей редакции: «для пюреобразных продуктов на фруктовой и (или) овощной основе»;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«Добавленный сахар», для нормируемого уровня «Не допускается» в графе «Примечание» слова «для соков» дополнить словами «Для соков из фруктов, а также для овощных соков прямого отжима»;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«Массовая доля этилового спирта» в графе «Примечание» исключить слова «для фруктовых соков и пюре»;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«аскорбиновая кислота (С)» в графе «Допустимые уровни, нормируемые» исключить нормирование минимального значения содержания аскорбиновой кислоты «не менее 25,0 мг в 100 гр»; в графе «Примечание» исключить слова «в конце срока годности»;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- 3.2.12.3. в таблице «2) Показатели безопасности» для показателя «Патулин» в графе «Примечание» после предлога «для» включить слово «продуктов».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3.2.13. в пункте 13.5.: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3.2.13.1. наименование пункта изложить в редакции: «Фруктовые и овощные консервы (соки, нектары, напитки, морсы, пюреообразные продукты на фруктовой и (или) овощной основе, фруктово-молочные и фруктово-зерновые пюре, комбинированные продукты)»;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3.2.13.2. в таблице «Пищевая ценность (в 100 г продукта)»: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наименовании перед словом «Пищевая» поставить номер «1)»;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показатель «Массовая доля растворимых сухих веществ»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2273"/>
        <w:gridCol w:w="1553"/>
        <w:gridCol w:w="1533"/>
        <w:gridCol w:w="3953"/>
      </w:tblGrid>
      <w:tr>
        <w:trPr>
          <w:trHeight w:val="30" w:hRule="atLeast"/>
        </w:trPr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растворимых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веществ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фруктов, фруктов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соковой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овощей и для такой продукции с добавлением фруктов, за исключением тыквы и моркови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 тыквы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моркови и такой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фруктов</w:t>
            </w:r>
          </w:p>
        </w:tc>
      </w:tr>
    </w:tbl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«Массовая доля сухих веществ» в графе «Примечание» слова «для пюре» заменить словами «для пюреобразных продуктов на фруктовой и (или) овощной основе»;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«Добавленный сахар» в графу «Допустимые уровни, нормируемые» ввести требование «Не допускается» для соков из фруктов с включением в графу «Примечание» слов «Для соков из фруктов, а также для овощных соков прямого отжима»;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«Массовая доля этилового спирта» в графе «Примечание» исключить слова «для фруктовых соков и пюре»;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«аскорбиновая кислота (С)» в графе «Допустимые уровни, нормируемые» исключить нормирование минимального значения содержания аскорбиновой кислоты «не менее 25,0 мг в 100 гр», в графе «Примечание» исключить слова «в конце срока годности»;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3.2.13.3. в таблице «2) Показатели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«Патулин» в графе «Примечание» после предлога «для» включить слово «продуктов»;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показателя «Микробиологические показатели» в графе «Допустимые уровни», объединенной с графой «Примечание», предложение «По продуктам на плодоовощной основе и плодоовощным консервам для детей раннего возраста (должны удовлетворять требованиям промышленной стерильности для соответствующих групп)» заменить на «Должны соответствовать требованиям, установленным для продуктов на плодоовощной основе и плодоовощным консервам для детей раннего возраста в пункте 12.3. (должны удовлетворять требованиям промышленной стерильности для соответствующих групп)»;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3.2.14. пункт 14.1. дополнить примечанием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«Примечание. Лабораторный контроль казеина осуществляется при наличии метода контроля, утвержденного в установленном порядке.».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3.2.15. пункт 16. дополнить примечанием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«Примечение. Лабораторный контроль казеина осуществляется при наличии метода контроля, утвержденного в установленном порядке»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2 «Требования безопасности к товарам детскогоассортимента» главы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дополнить введение к разделу после абзаца 2 абзацем: «При проведении исследований возможно выделение типового образца/представителя. Типовым образцом является образец, представляющий изделия, относящиеся к одному виду по целевому назначению, предназначенные для одной возрастной группы, изготовленные одним производителем из одинаковых материалов по одной рецептуре и по одним техническим документам, регламентирующим выпуск продукции.».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из подраздела 2.2. пункта 2.2.2. исключить показатели «п-крезол» и «м-крезол»;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из подраздела 3.3 таблицы 2 строки «Поликарбонат» исключить показатель «дифенилолпропан»; из строки «Полимерные материалы на основе эпоксидной смолы» исключить показатель «дифенилолпропан»; из строки «резино-латексные изделия» исключить показатель «изопрен (2-метилбутадиен -1,3)»;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из подраздела 4.2.3. таблицы 5 из строки «Искусственные вискозные и ацетатные» исключить показатель «уксусная кислота» для водной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из подраздела 4.2.4. таблицы 6 исключить показатель «бензидин».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3 «Требования к материалам, реагентам, оборудованию, используемым для водоочистки и водоподготовки» главы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дополнить пунктом 1.2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 проведении исследований возможно выделение типового образца/представителя.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Типовой образец реагентов, добавляемых в воду, - образец, выбранный из группы продукции, изготовленной одним производителем по единым техническим требованиям, имеющей одинаковый сырьевой и компонентный состав, одинаковую область применения и различающейся процентным содержанием действующего вещества (веществ), агрегатным состоянием (твердая или жидкая формы) или объемом упаковки.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Типовой образец вспомогательного оборудования (водонагреватели, бытовые устройства для очистки и доочистки питьевой воды, электролизерные установки, озонаторы и т.д.) - образец, выбранный из группы продукции, изготовленной одним производителем по единым техническим требованиям, имеющей одинаковую конструкцию, одинаковую область применения и одинаковые условия эксплуатации, различающейся производительностью, размерами и конфигурацией.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Типовой образец конструкционных материалов (трубы, соединительная арматура, краны; полимерные, металлические емкости для хранения и транспортировки воды, прокладки, изоляционные материалы и т.п.) - образец, выбранный из группы продукции, изготовленной одним производителем по единым техническим требованиям, имеющей одинаковый сырьевой и компонентный состав, одинаковую область применения и одинаковые условия эксплуатации, и различающейся размером, диаметром, формой, объемом.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Типовой образец материалов, используемых для обработки поверхностей, контактирующих с водой (лаки, краски, эмали, герметики, смазки, антикоррозионные, полимерные покрытия и т.п.) - образец, выбранный из группы продукции, изготовленной одним производителем по единым техническим требованиям, имеющей одинаковый сырьевой и компонентный состав, одинаковую область применения и одинаковые условия эксплуатации, и различающейся концентрацией основных веществ, агрегатным состоянием (твердая или жидкая формы) или объемом упаковки.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Типовой образец фильтрующих зернистых материалов, сорбентов и мембран природного и искусственного происхождения - образец, выбранный из группы продукции, изготовленной одним производителем по единым техническим требованиям, имеющей одинаковый сырьевой и компонентный состав, одинаковую область применения и одинаковые условия эксплуатации, а для материалов природного происхождения – также и одинаковое месторождение, конфигурацию поверхности гранул, но различающейся гранулометрическим составом, размером пор, сорбционной (обменной) емкостью или объемом упаковки.»;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в таблице 1 приложения 3.1. к разделу 3 по пункту 6.2. исключить из перечня контролируемых показателей «ниобий» и «вольфрам»;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в таблице 2 приложения 3.2. к разделу 3 исключить пункт 12 «вольфрам», пункт 24 «ниобий», пункт 33 «фосфор элементарный», пункт 38 «гесканитрокобальтиат-ион», пункт 39 «гидросульфид-ион».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разделе 4 «Требования к парфюмерно-косметической продукции и средствам гигиены полости рта» главы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в подразделе I «Требования к парфюмерно-косметической продукции»: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6.1.1. главу 3 «Требования (критерии) к безопасности продукции»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«Типовым образцом декоративной косметики (помада, тушь, подводка, косметические карандаши, тональные средства, тени, пудра и т.д.), лака для ногтей, краски и оттеночных средств для волос, изготовленных по единой технической документации (рецептура, технические условия) с использованием красителей, перечисленных в приложении 4.4. Раздела 4 Главы II Единых требований, но отличающихся по тону, принимается представитель одного наименования и назначения, с максимальным процентным (количественным) содержанием каждого конкретного красителя в готовом продукте. Типовые образцы декоративной косметики (помада, тушь, подводка, косметические карандаши, тональные средства, тени, пудра и т.д.), лака для ногтей, краски и оттеночных средств для волос должны составлять не менее 30 % от перечня заявленной для проведения исследований продукции и исследоваться в полном объеме; для всех остальных тонов – определяется только сенсибилизирующее действие.», включив его перед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к сырью. Запрещается использовать для производства ПКП в качестве ингредиентов вещества, перечисленные в приложении 4.2 Раздела 4 Главы II настоящих Единых требований.»;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6.1.2. включить в «Средства для ухода за кожей» Таблицы 1 «Требования к органолептическим и к физико-химическим показателям ПКП» показатель «Кремы и гели, содержащие растительные экстракты, фруктовые кислоты и их производные»: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3444"/>
        <w:gridCol w:w="3645"/>
        <w:gridCol w:w="2301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(показатели)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ухода за кожей</w:t>
            </w:r>
          </w:p>
        </w:tc>
      </w:tr>
      <w:tr>
        <w:trPr>
          <w:trHeight w:val="30" w:hRule="atLeast"/>
        </w:trPr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Кремы и гели,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вид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Однородная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Свойственный цвету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изделия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запаху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3,0-9,0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</w:tr>
    </w:tbl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 подразделе II «Требования к средствам гигиены полости 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6.2.1. в главе 1 «Область применения» исключить из текста термин «зубной шелк» и изложить абзац 2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«Средства гигиены полости рта или зубов, включая фиксирующие порошки и пасты для зубных протезов; нити, используемые для очистки межзубных промежутков, в индивидуальной упаковке для розничной продажи (код ТН ВЭД 3306)»;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6.2.2. в пункте 6 Таблицы 1 Приложения 4.1: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продукции изложить в следующей редакции: «Вспомогательные средства (зубные нити (флоссы), флоссодержатели, ирригаторы, стимуляторы, ершики, зубочистки, скребки для языка и т.п.)»;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«характеристика и нормы» показателя «тип»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649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6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Вощеные/невощеные (для зубных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нитей), с ароматизаторами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фторидами (для зубных нитей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зубочисток))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5 «Требования к товарам бытовой химии и лакокрасочным материалам» главы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 в подразделе I. «Основные требования к товарам бытовой химии»: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7.1.1. второе примечание к абзацу «биоразлагаемость (полная,первичная)*)**)» пункта 1.3.5. изложить в следующей редакции: «**) – лабораторный контроль показателя осуществляется при наличии метода контроля, утвержденного в установленном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7.1.2. пункт 1.4.2.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«1.4.2. В потребительскую маркировку включается перечень ингредиентов, входящих в состав товаров бытовой химии, с указанием их содержания в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менее 5 процентов (%),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- 5 процентов (%) или более, но менее 15 процентов (%),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- 15 процентов (%) или более, но менее 30 процентов (%),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- 30 процентов (%)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общепринятых математических символов сравнения.».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7.1.3. пункт 1.4.6.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«Потребительская маркировка должна содержать обязательные указания по мерам защиты пользователя от неблагоприятного воздействия товаров бытовой химии, мерам предосторожности и правилам хранения и применения и предупредительные надписи в зависимости от вида продукции (например: «Беречь от детей!» или «Хранить в недоступном для детей месте» или "Не разбирать и не давать детям"; «Продукт обладает раздражающим действием на кожу», «Использование средств защиты кожи рук обязательно» и т.п.)».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7.1.4. таблицу 1 дополнить примечанием: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«*допускается использование синонимов названий химических веществ.»;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в подразделе II. «Основные требования к лакокрасочным материалам»: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п. 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«ЛКМ не должны содержать сиккативов, включающих металлы, химических веществ, относящихся к 1-му классу опасности, количество которых в пересчете на сухой остаток превышает 0,5 %, а свинецсодержащих пигментов (крона свинцовые) – химических веществ 1 класса опасности – 15 %. Оценка наличия сиккативов и свинецсодержащих пигментов проводится путем анализа рецептуры ЛКМ;».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в таблице 1 приложения 5А: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7.3.1 по пункту 5.1 по показателю острой токсичности при введении в желудок, DL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значение допустимого уровня на «2-4 класс опасности DL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&gt;15 мг/кг»;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7.3.2. по пунктам 5.1., 5.2., 5.3, 5.4, 5.5., 5.5.1, 5.6., 5.6.1, 5.7 показатель активности водородных ионов (pH) дополнить примечанием: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 значениях рН жидкого продукта или водного раствора продукта с массовой долей 1 % менее 3,0 или более 11,5 обязательна маркировка потребительской упаковки»;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7.3.3. по пункту 5.3 раздражающее действие в рекомендуемом режиме применения удалить примечание;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7.3.4. по пунктам 5.1., 5.2., 5.2.1., 5.3., 5.4., 5.5., 5.5.1., 5.6., 5.6.1., 5.8 по критерию ингаляционной опасности раздел «Примечание» изменить дополнение на «для средств 3 класса опасности обязательна маркировка потребительской упаковки («использование СИЗ при необходимости)»;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7.3.5. по п. 5.1., 5.6 в разделе «санитарно-химические показатели» показатель «массовая доля активного хлора (для средств, содержащих хлорактивные соединения)»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«Массовая доля активного хлора (для порошкообразных, пастообразных средств, средств в виде суспензий, гелей, содержащих хлорактивные соединения)»;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7.3.6. по п. 5.1., 5.6 в разделе «санитарно-химические показатели» показатель «массовая концентрация активного хлора в средствах, содержащих хлорактивные соединения»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«массовая концентрация активного хлора в жидких средствах, содержащих хлорактивные соединения»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7.3.7. по пункту 5.5 критерий «Смываемость с посуды средств для мытья посуды (остаточные количества ПАВ в смывах с обрабатываемых поверхностей после 3-х кратного ополаскивания)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содержащих анионные поверхностно-активные вещества (АПАВ)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содержащих неионогенные поверхностно-активные вещества(НПАВ)» изложить в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«Вымываемость из тканей (остаточные количества ПАВ в смывах с обрабатываемых поверхностей после ополаскивания)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содержащих анионные поверхностно-активные вещества (АПАВ)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содержащих неионогенные поверхностно-активные вещества(НПАВ)».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7.3.8. по пункту 5.9 критерий «Раздражающее ЛКМ в рекомендуемом режиме применения» изложить в редакции «Раздражающее и кожно-резорбтивное действие ЛКМ в рекомендуемом режиме применения».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8 «Требования безопасности к печатным книгам и другим изделиям полиграфической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 Наименование раздела изложить в редакции: «Требования безопасности к печатным книгам и другим изделиям полиграфической промышленности, предназначенным для детей и подростков».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8.2. 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исключить требование «при печати текста с использованием черной краски интервал оптических плотностей элементов изображения текста и бумаги в издательской продукции должен быть не менее 0,7» и дополнить требованием «оптическая плотность фона при печати текста на цветном и сером фоне и (или) многокрасочных иллюстрациях должна быть не более 0,3, при печати вывороткой шрифта — не менее 0,4».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9 «Требования к питьевой воде, расфасованной в емкости» главы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9.1. дополнить пунктом 1.3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 проведении исследований возможно выделение типового образца/представителя.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Типовой образец питьевой воды, расфасованной в емкости, – образец готовой продукции одного наименования, изготовленной одним производителем в соответствии с разработанной на нее нормативно-технической документацией, регламентирующей выпуск продукции (технические условия, технологическая инструкция).».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9.2. из Приложения 9.1. пункт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13 «Требования к сигаретам и табачному сырью» из пункта 3.6 исключить слова «.... и табачной части импортируемых табачных изделий».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14 «Требования к средствам индивидуальной защиты» в таблице «Основные требования к подконтрольной продукции (товарам) и показателям их безопасности» из пункта 1 в части «Миграция вредных веществ в воздушную среду (исходя из состава материалов)» исключить показатели: гексаметилендиамин, дифенилолпропан, толуилендиизоцианат.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разделе 15 «Требования к пестицидам и агрохимикатам» в приложении 15.1: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12.1. в пункте 98 в графе 2 наименование действующего вещества изложить в следующей редакции: «бромистый 4-трифенил-фосфоний метилбензальдегид-+4-метилентрифенил-фосфоний-бромид-4- нитродифенилазометина»;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12.2. в пункте 293 в графе 3 ДСД исправить на 0,05 (вместо 0,015);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12.3. в пункте 327 в графе 3 ДСД исправить на 0,08 (вместо 008*);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12.4. в пункте 425 в графе 6 ПДК/ОБУВ в воздухе рабочей зоны исправить на - /0,1 (вместо /0,1 (оп));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12.5. в пункте 453 в графе 3 ПДК/ОДК в почве исправить на– нн (вместо 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разделе 16 «Требования к материалам и изделиям, изготовленных из полимерных и других материалов, предназначенных для контакта с пищевыми продуктами и средами»: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13.1. Дополнить пункт 1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«Типовой образец – представитель, выбранной из номенклатуры однотипной продукции, изготовленной одним производителем по однотипному технологическому процессу с применением одинаковых материалов, имеющий одинаковую область применения и условия эксплуатации (температурный режим, время контакта).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Типовым образцом многослойных и комбинированных полимерных материалов и изделий из них является представитель, выбранный из номенклатуры однотипной продукции, изготовленной одним производителем, имеющий одинаковый материал слоя, непосредственно контактирующего с пищевыми продуктами, вне зависимости от наличия и состава других слоев.».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13.2. в таблице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13.2.1. в пункте 1.3. «Поливинилхлоридные пластики» исключить показатели «дидодецилфталат» и «диизододецилфталат»;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13.2.2. в пунктах 1.9.6. «Поликарбонат», 1.9.7. «Полисульфон», 1.9.9. «При использовании в качестве связующего:», 1.14. «Полимерные материалы на основе эпоксидных смол», 9.1. «Тара лакированные эпоксифенольными лаками» и 9.3. «Тара, покрытая белково-устойчивыми эмалями, содержащими цинковую пасту» исключить показатель «дифенилолпропан»;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13.2.3. включить в пункт 1.3. «Поливинилхлоридные пластики» показатель «винил хлористый»: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093"/>
        <w:gridCol w:w="1073"/>
        <w:gridCol w:w="1313"/>
        <w:gridCol w:w="1433"/>
        <w:gridCol w:w="1713"/>
        <w:gridCol w:w="1433"/>
        <w:gridCol w:w="1493"/>
      </w:tblGrid>
      <w:tr>
        <w:trPr>
          <w:trHeight w:val="23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атм.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атм.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хлористый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</w:tbl>
    <w:bookmarkStart w:name="z1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19 «Требования к химической и нефтехимической продукции производственного назначения» в подразделе 4. «Критерии оценки опасности» пункт 4.1. дополнить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«сведения о биоразлагаемости ПАВ. Допускаются к обращению поверхностно-активные вещества (ПАВ) с полной биоразлагаемостью не менее 60% ( по двуокиси углерода) или не менее 70% (по общему органическому углероду) или/и с первичной биоразлагаемостью не менее 80%.».*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для товаров, принадлежащих к кодам ТН ВЭД ТС 3402 11, 3402 12, 3402 13.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разделе 21 «Требования к минеральным водам»: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15.1. пункт 3.1. изложить в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«Розлив минеральных вод должен проводиться в соответствии с требованиями настоящих Единых санитарных требований и технологической инструкции по обработке и розливу питьевых минеральных вод, утвержденной в установленном порядке, с соблюдением санитарных правил для предприятий по обработке и розливу питьевых минеральных вод.»;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15.2. пункт 3.3. изложить в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«Для обработки минеральных вод разрешается применять следующие способы: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отделение соединений железа, марганца и серы, а также мышьяка путем обработки воздухом и (или) кислородом;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отделение нерастворимых элементов, таких как соединения железа и серы, путем фильтрации или декантирования;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полное или частичное освобождение от свободной двуокиси углерода исключительно физическими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насыщение двуокисью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обработка лимонной или аскорбиновой кислотой;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обработка сернокислым серебром.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обработки минеральных вод, кроме способов, предусмотренных выше, разрешается применять также иные способы, которые не изменяют содержание и соотношение катионов - кальция, магния, натрия и калия, анионов- гидрокарбонатов, сульфатов, хлоридов, а также биологически активных компонентов в обрабатываемых минеральных 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применение препаратов хлора для обработки минеральных вод, предназначенных для розлива.»;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15.3. пункт 3.5. изложить в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«Для газирования минеральных вод применяют двуокись углерода.»;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15.4. пункт 3.6. изложить в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«Изготовители расфасованных минеральных вод обязаны обеспечить обеззараживание емкостей для розлива, гарантирующее их безопасность в эпидемиологическом отношении и безвредность по химическому составу.»;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15.5. пункт 5.1. изложить в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«Вода минеральная должна быть розлита в потребительскую тару, предназначенную для контакта с пищевыми продуктами.»;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15.6. пункт 5.3. изложить в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хранения и транспортировки минеральной воды, а также срок годности должны соответствовать требованиям, указанным в нормативной документации изготовителя на готовую продукцию, утвержденную в установленном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15.7. таблицу 2 Приложения 1 изложить в редакции: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3"/>
        <w:gridCol w:w="6033"/>
      </w:tblGrid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компонента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концентрация,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не более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 (As)*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(Pb)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(Zn)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(Cd)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(Cu)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 (Hg)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(Se)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Стронций (Sr)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 (для лечебных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лечебно-столовых вод)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 (F):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лечебных 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лечебно-столовых водах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Мышьяк не является токсичным элементом в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питьевых лечебных водах, содержащих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активный мышьяк.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