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7170" w14:textId="d44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экспертных и рабочих группах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412.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Таможенного союза от 20 сентября 2010 г. № 395 утвердить уточненный состав экспертной группы "Косвенные налоги" (прилагается).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Глазьев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года № 412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СОСТАВЫ ЭКСПЕРТНЫХ ГРУПП</w:t>
      </w:r>
      <w:r>
        <w:br/>
      </w:r>
      <w:r>
        <w:rPr>
          <w:rFonts w:ascii="Times New Roman"/>
          <w:b/>
          <w:i w:val="false"/>
          <w:color w:val="000000"/>
        </w:rPr>
        <w:t>ПО РАЗРАБОТКЕ ПРОЕКТОВ ДОКУМЕНТОВ,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МЕРОПРИЯТИЯМИ ПО РЕАЛИЗАЦИИ</w:t>
      </w:r>
      <w:r>
        <w:br/>
      </w:r>
      <w:r>
        <w:rPr>
          <w:rFonts w:ascii="Times New Roman"/>
          <w:b/>
          <w:i w:val="false"/>
          <w:color w:val="000000"/>
        </w:rPr>
        <w:t>ПЛАНА ДЕЙСТВИЙ ПО ФОРМИРОВАНИЮ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V. КОСВЕННЫЕ НАЛОГИ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сотрудничества Министерства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 и сборам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платежей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налоговых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Налогового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Абжаппаров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Абдумуталипович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в рамках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Кажымуратовна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в рамках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Гулжазира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 Управления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в рамках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Какимбекович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акцизов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Федоровна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налоговой и таможенно-тарифной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налога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 стоимость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ФНС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Юрьевич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налогового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межведомственного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 управления ФНС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Борисович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организации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Контрольного управления ФНС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Правового Департамента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Пониделко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Артемович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пространства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со странами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финансовой политики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экспертной группы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Абаевич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финансовой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