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399" w14:textId="db0f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нормативные правовые акты Комиссии Таможенного союза в области технического регулирования и 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союза, утвержденный Решением Комиссии Таможенного союза от 28 мая 2010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(прилагаются);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формы сертификата соответствия и декларации о соответствии, утвержденные Решением Комиссии Таможенного союза от 18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(прилагаются).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01.06.2019).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дней после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383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Единый перечень товаров, подлежащих санитарно-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эпидемиологическому надзору (контролю) на таможенной границе и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Таможенного союза, утвержденный Решением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от 28 мая 2010 года № 299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текст второй сноски к разделу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следующие изменения: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исключить код 2915 ТН ВЭД ТС;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"из 2916 19 100" заменить словами "из 2916 19 100 0";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исключить код 2917 31 000 0 ТН ВЭД ТС;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субпозицию 3202 10 ТН ВЭД ТС заменить субпозицией 3302 10 ТН ВЭД ТС.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383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Единые формы документов, подтверждающих безопасность продукции</w:t>
      </w:r>
      <w:r>
        <w:br/>
      </w:r>
      <w:r>
        <w:rPr>
          <w:rFonts w:ascii="Times New Roman"/>
          <w:b/>
          <w:i w:val="false"/>
          <w:color w:val="000000"/>
        </w:rPr>
        <w:t>(товаров), в части ее соответствия санитарно-эпидемиологическим</w:t>
      </w:r>
      <w:r>
        <w:br/>
      </w:r>
      <w:r>
        <w:rPr>
          <w:rFonts w:ascii="Times New Roman"/>
          <w:b/>
          <w:i w:val="false"/>
          <w:color w:val="000000"/>
        </w:rPr>
        <w:t>и гигиеническим требованиям, утвержденные Решением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от 28 мая 2010 года № 299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Изменение утратило силу решением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01.06.2019).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383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Единые формы сертификата соответствия</w:t>
      </w:r>
      <w:r>
        <w:br/>
      </w:r>
      <w:r>
        <w:rPr>
          <w:rFonts w:ascii="Times New Roman"/>
          <w:b/>
          <w:i w:val="false"/>
          <w:color w:val="000000"/>
        </w:rPr>
        <w:t>и декларации о соответствии, утвержденные Решением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от 18 июня 2010 года № 319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10 подпункта 2.4 Приложения № 1 к Единой форме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соответствия, дополнить абзацем следующего содержания: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сертификации допускается не указывать разделы (пункты, подпункты) НПА в случае применения данного НПА в целом".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4 подпункта 3.3 Приложения № 2 к Единой форме декларации о соответствии дополнить абзацем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декларирования соответствия допускается не указывать разделы (пункты, подпункты) НПА в случае применения данного НПА в целом".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