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d3d4" w14:textId="74c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Инструкцию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г.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Инструкцию о порядке использования транспортных (перевозочных), коммерческих и (или) иных документов в качестве декларации на товары,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263, изложивподпункт 3 пункта 12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контейнеров, не используемых в качестве транспортных средств международной перевозки, поддонов, упаковки и иной многооборотной тары, подлежащих возврату в соответствии с условиями внешнеэкономической сделки и заявляемых под таможенные процедуры временного ввоза (допуска) или временного вывоза, если в отношении таких товаров предоставляется полное условное освобождение от уплаты таможенных пошлин, налогов, а также под таможенные процедуры реэкспорта или реимпорта в целях завершения действия таможенных процедур временного ввоза (допуска) или временного вывоза;».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