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d3d4" w14:textId="74cd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Инструкцию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2010 г.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в Инструкцию о порядке использования транспортных (перевозочных), коммерческих и (или) иных документов в качестве декларации на товары,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263, изложивподпункт 3 пункта 12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контейнеров, не используемых в качестве транспортных средств международной перевозки, поддонов, упаковки и иной многооборотной тары, подлежащих возврату в соответствии с условиями внешнеэкономической сделки и заявляемых под таможенные процедуры временного ввоза (допуска) или временного вывоза, если в отношении таких товаров предоставляется полное условное освобождение от уплаты таможенных пошлин, налогов, а также под таможенные процедуры реэкспорта или реимпорта в целях завершения действия таможенных процедур временного ввоза (допуска) или временного вывоза;».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