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0a387e" w14:textId="e0a387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вопросах в сфере ветеринарного контроля (надзора) в Таможенном союзе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Комиссии таможенного союза от 17 августа 2010 года № 342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Комиссия Таможенного союза </w:t>
      </w:r>
      <w:r>
        <w:rPr>
          <w:rFonts w:ascii="Times New Roman"/>
          <w:b/>
          <w:i w:val="false"/>
          <w:color w:val="000000"/>
          <w:sz w:val="28"/>
        </w:rPr>
        <w:t>решила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1.1. форму реестра организаций и лиц, осуществляющих производство, переработку и (или) хранение подконтрольных товаров, перемещаемых с территории одного государства – члена Таможенного союза на территорию другого государства – члена Таможенного союза (</w:t>
      </w:r>
      <w:r>
        <w:rPr>
          <w:rFonts w:ascii="Times New Roman"/>
          <w:b w:val="false"/>
          <w:i w:val="false"/>
          <w:color w:val="000000"/>
          <w:sz w:val="28"/>
        </w:rPr>
        <w:t>прилагается</w:t>
      </w:r>
      <w:r>
        <w:rPr>
          <w:rFonts w:ascii="Times New Roman"/>
          <w:b w:val="false"/>
          <w:i w:val="false"/>
          <w:color w:val="000000"/>
          <w:sz w:val="28"/>
        </w:rPr>
        <w:t>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1.2. форму реестра организаций и лиц, осуществляющих производство, переработку и (или) хранение подконтрольных товаров, ввозимых на таможенную территорию Таможенного союза (</w:t>
      </w:r>
      <w:r>
        <w:rPr>
          <w:rFonts w:ascii="Times New Roman"/>
          <w:b w:val="false"/>
          <w:i w:val="false"/>
          <w:color w:val="000000"/>
          <w:sz w:val="28"/>
        </w:rPr>
        <w:t>прилагается</w:t>
      </w:r>
      <w:r>
        <w:rPr>
          <w:rFonts w:ascii="Times New Roman"/>
          <w:b w:val="false"/>
          <w:i w:val="false"/>
          <w:color w:val="000000"/>
          <w:sz w:val="28"/>
        </w:rPr>
        <w:t>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1.3. технические условия по формату и регламенту передачи данных форм реестров организаций и лиц, осуществляющих производство, переработку и (или) хранение подконтрольных товаров (</w:t>
      </w:r>
      <w:r>
        <w:rPr>
          <w:rFonts w:ascii="Times New Roman"/>
          <w:b w:val="false"/>
          <w:i w:val="false"/>
          <w:color w:val="000000"/>
          <w:sz w:val="28"/>
        </w:rPr>
        <w:t>прилагается</w:t>
      </w:r>
      <w:r>
        <w:rPr>
          <w:rFonts w:ascii="Times New Roman"/>
          <w:b w:val="false"/>
          <w:i w:val="false"/>
          <w:color w:val="000000"/>
          <w:sz w:val="28"/>
        </w:rPr>
        <w:t>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1.4. план разработки и утверждения проектов документов по направлению «Ветеринарные меры» (</w:t>
      </w:r>
      <w:r>
        <w:rPr>
          <w:rFonts w:ascii="Times New Roman"/>
          <w:b w:val="false"/>
          <w:i w:val="false"/>
          <w:color w:val="000000"/>
          <w:sz w:val="28"/>
        </w:rPr>
        <w:t>прилагается</w:t>
      </w:r>
      <w:r>
        <w:rPr>
          <w:rFonts w:ascii="Times New Roman"/>
          <w:b w:val="false"/>
          <w:i w:val="false"/>
          <w:color w:val="000000"/>
          <w:sz w:val="28"/>
        </w:rPr>
        <w:t>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1.5. изменения в Единые ветеринарные (ветеринарно-санитарные) требования, предъявляемые к товарам, подлежащим ветеринарному контролю (надзору), утвержденные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Таможенного союза от 18 июня 2010 года № 317 (</w:t>
      </w:r>
      <w:r>
        <w:rPr>
          <w:rFonts w:ascii="Times New Roman"/>
          <w:b w:val="false"/>
          <w:i w:val="false"/>
          <w:color w:val="000000"/>
          <w:sz w:val="28"/>
        </w:rPr>
        <w:t>прилагаются</w:t>
      </w:r>
      <w:r>
        <w:rPr>
          <w:rFonts w:ascii="Times New Roman"/>
          <w:b w:val="false"/>
          <w:i w:val="false"/>
          <w:color w:val="000000"/>
          <w:sz w:val="28"/>
        </w:rPr>
        <w:t>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1.6. изменения в Положение о Едином порядке осуществления ветеринарного контроля на таможенной границе Таможенного союза и таможенной территории Таможенного союза, утвержденные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Таможенного союза от 18 июня 2010 года № 317 (</w:t>
      </w:r>
      <w:r>
        <w:rPr>
          <w:rFonts w:ascii="Times New Roman"/>
          <w:b w:val="false"/>
          <w:i w:val="false"/>
          <w:color w:val="000000"/>
          <w:sz w:val="28"/>
        </w:rPr>
        <w:t>прилагаются</w:t>
      </w:r>
      <w:r>
        <w:rPr>
          <w:rFonts w:ascii="Times New Roman"/>
          <w:b w:val="false"/>
          <w:i w:val="false"/>
          <w:color w:val="00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Поддержать предложение рабочей группы по направлению «Ветеринарные меры» о целесообразности разработки уполномоченными органами Сторон в области применения ветеринарных мер совместно с Секретариатом Комиссии Таможенного союза (далее – Секретариат) временной автоматизированной технологии информационного обмена сведениями о выданных разрешениях в отношении товаров, включенных в Единый перечень товаров, подлежащих ветеринарному контролю (надзору), утвержденный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Таможенного союза от 18 июня 2010 года № 317 (далее – Единый перечень товаров), предусмотрев при этом обеспечение передачи соответствующих данных в пункты пропуска на таможенной границе Таможенного союза, а также учета данных в этих пунктах пропуска и местах назначения на таможенной территории Таможенного союза.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Принять к сведению заявление российской Стороны о предоставлении белорусской Стороне права пользования Информационной системой «Аргус» (ИС «Аргус») на безвозмездной основе.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Российской Стороне с привлечением экспертов белорусской Стороны в срок до 1 октября 2010 года обеспечить доработку ИС «Аргус» в соответствии с техническими требованиями белорусской Стороны в части оформления разрешений на ввоз/вывоз/транзит и учета прохождения подконтрольных товаров в пунктах пропуска на таможенной границе Таможенного союза и в местах назначения на таможенной территории Таможенного союза.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Казахстанской Стороне в срок до 1 октября 2010 года обеспечить доработку национальной системы в области ветеринарного контроля (надзора) в части передачи информации в пункты пропусков на государственной границе и учета данных в пункте назначения на таможенной территории Таможенного союза.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Уполномоченным органам Сторон в области применения ветеринарных мер совместно с Секретариатом в целях обеспечения ведения реестров, указанных в пункте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6.1. в срок до 1 октября 2010 года разработать временную автоматизированную технологию информационного обмена о выданных разрешениях на импорт, экспорт, транзит товаров, включенных в Единый перечень товаров, и об учете указанных товаров;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6.2. обеспечить передачу c 1 октября 2010 года в Секретариат информации, сформированной в национальных системах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подпунктами 1.1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1.2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Решения.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Члены Комиссии таможенного союза: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53"/>
        <w:gridCol w:w="3353"/>
        <w:gridCol w:w="3293"/>
      </w:tblGrid>
      <w:tr>
        <w:trPr>
          <w:trHeight w:val="30" w:hRule="atLeast"/>
        </w:trPr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Беларусь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Российской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Федерации</w:t>
            </w:r>
          </w:p>
        </w:tc>
      </w:tr>
      <w:tr>
        <w:trPr>
          <w:trHeight w:val="30" w:hRule="atLeast"/>
        </w:trPr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Кобяков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У. Шукеев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Шувалов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Решением Комиссии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Таможенного союза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17 августа 2010 года № 342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            </w:t>
      </w:r>
    </w:p>
    <w:bookmarkStart w:name="z16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Реестр</w:t>
      </w:r>
      <w:r>
        <w:br/>
      </w:r>
      <w:r>
        <w:rPr>
          <w:rFonts w:ascii="Times New Roman"/>
          <w:b/>
          <w:i w:val="false"/>
          <w:color w:val="000000"/>
        </w:rPr>
        <w:t>
организаций и лиц, осуществляющих производство, переработку</w:t>
      </w:r>
      <w:r>
        <w:br/>
      </w:r>
      <w:r>
        <w:rPr>
          <w:rFonts w:ascii="Times New Roman"/>
          <w:b/>
          <w:i w:val="false"/>
          <w:color w:val="000000"/>
        </w:rPr>
        <w:t>
и (или) хранение подконтрольных товаров, перемещаемых</w:t>
      </w:r>
      <w:r>
        <w:br/>
      </w:r>
      <w:r>
        <w:rPr>
          <w:rFonts w:ascii="Times New Roman"/>
          <w:b/>
          <w:i w:val="false"/>
          <w:color w:val="000000"/>
        </w:rPr>
        <w:t>
с территории одного государства–члена Таможенного союза</w:t>
      </w:r>
      <w:r>
        <w:br/>
      </w:r>
      <w:r>
        <w:rPr>
          <w:rFonts w:ascii="Times New Roman"/>
          <w:b/>
          <w:i w:val="false"/>
          <w:color w:val="000000"/>
        </w:rPr>
        <w:t>
на территорию другого государства–члена Таможенного союза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 </w:t>
      </w:r>
      <w:r>
        <w:rPr>
          <w:rFonts w:ascii="Times New Roman"/>
          <w:b/>
          <w:i w:val="false"/>
          <w:color w:val="000000"/>
          <w:sz w:val="28"/>
        </w:rPr>
        <w:t>       Вид продукции: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4"/>
        <w:gridCol w:w="1721"/>
        <w:gridCol w:w="1682"/>
        <w:gridCol w:w="1682"/>
        <w:gridCol w:w="2130"/>
        <w:gridCol w:w="1238"/>
        <w:gridCol w:w="1219"/>
        <w:gridCol w:w="1473"/>
        <w:gridCol w:w="1741"/>
      </w:tblGrid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-член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таможен-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союза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приятия,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моченным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органом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приятия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(область,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провинция,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штат,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воевод-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аймак,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уезд)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тия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ности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статус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(разре-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шено/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ограни-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чение/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усилен-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троль)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вклю-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Реестр/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введении/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снятии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ограни-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чений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…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Решением Комиссии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Таможенного союза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17 августа 2010 года № 342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          </w:t>
      </w:r>
    </w:p>
    <w:bookmarkStart w:name="z1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Реестр</w:t>
      </w:r>
      <w:r>
        <w:br/>
      </w:r>
      <w:r>
        <w:rPr>
          <w:rFonts w:ascii="Times New Roman"/>
          <w:b/>
          <w:i w:val="false"/>
          <w:color w:val="000000"/>
        </w:rPr>
        <w:t>
организаций и лиц, осуществляющих производство, переработку</w:t>
      </w:r>
      <w:r>
        <w:br/>
      </w:r>
      <w:r>
        <w:rPr>
          <w:rFonts w:ascii="Times New Roman"/>
          <w:b/>
          <w:i w:val="false"/>
          <w:color w:val="000000"/>
        </w:rPr>
        <w:t>
и (или) хранение подконтрольных товаров, ввозимых</w:t>
      </w:r>
      <w:r>
        <w:br/>
      </w:r>
      <w:r>
        <w:rPr>
          <w:rFonts w:ascii="Times New Roman"/>
          <w:b/>
          <w:i w:val="false"/>
          <w:color w:val="000000"/>
        </w:rPr>
        <w:t>
на таможенную территорию Таможенного союза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      </w:t>
      </w:r>
      <w:r>
        <w:rPr>
          <w:rFonts w:ascii="Times New Roman"/>
          <w:b/>
          <w:i w:val="false"/>
          <w:color w:val="000000"/>
          <w:sz w:val="28"/>
        </w:rPr>
        <w:t>Вид продукции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3"/>
        <w:gridCol w:w="1481"/>
        <w:gridCol w:w="2016"/>
        <w:gridCol w:w="1134"/>
        <w:gridCol w:w="2019"/>
        <w:gridCol w:w="1249"/>
        <w:gridCol w:w="1057"/>
        <w:gridCol w:w="2346"/>
        <w:gridCol w:w="1825"/>
      </w:tblGrid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Страна-экспор-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ятия,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моченным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органом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тия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(область,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провин-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штат,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воевод-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аймак,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уезд)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тия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статус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(разрешено/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временное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ограничение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/усиленный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контроль)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включения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Реестр/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введении/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снятии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ограни-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чений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…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Утверждены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Решением Комиссии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Таможенного союза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17 августа 2010 года № 342 </w:t>
      </w:r>
    </w:p>
    <w:bookmarkStart w:name="z1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Технические условия по формату и регламенту передачи данных</w:t>
      </w:r>
      <w:r>
        <w:br/>
      </w:r>
      <w:r>
        <w:rPr>
          <w:rFonts w:ascii="Times New Roman"/>
          <w:b/>
          <w:i w:val="false"/>
          <w:color w:val="000000"/>
        </w:rPr>
        <w:t>
форм реестров организаций и лиц, осуществляющих производство,</w:t>
      </w:r>
      <w:r>
        <w:br/>
      </w:r>
      <w:r>
        <w:rPr>
          <w:rFonts w:ascii="Times New Roman"/>
          <w:b/>
          <w:i w:val="false"/>
          <w:color w:val="000000"/>
        </w:rPr>
        <w:t>
переработку и (или) хранение подконтрольных товаров</w:t>
      </w:r>
    </w:p>
    <w:bookmarkEnd w:id="3"/>
    <w:bookmarkStart w:name="z1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Таможенного союза от 18 июня 2010 года № 317 и Положением о едином порядке проведения совместных проверок объектов и отбора проб товаров (продукции), подлежащих ветеринарному контролю (надзору) направляется информация, содержащаяся в Реестре организаций и лиц, осуществляющих производство, переработку и (или) хранение подконтрольных товаров, ввозимых на таможенную территорию Таможенного союза (далее – Реестр предприятий третьих стран) и в Реестре организаций и лиц, осуществляющих производство, переработку и (или) хранение подконтрольных товаров, перемещаемых с территории одной Стороны на территорию другой Стороны (далее – Реестр предприятий Таможенного союза) в Комиссию Таможенного союза для ее размещения в Интегрированной информационной системе внешней и взаимной торговли Таможенного союза (далее – ИИСВВТ) и на официальном сайте КТС уполномоченными органами государств – членов Таможенного союза, ответственными за предоставление этих данных (далее – уполномоченные органы).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Целью настоящего документа является установление для всех уполномоченных органов единых правил подготовки и передачи в Комиссию Таможенного союза информации, содержащейся в Реестре предприятий третьих стран и в Реестре предприятий Таможенного союза.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Формирование и ведение Реестров осуществляется Секретариатом Комиссии Таможенного союза (далее – Секретариат) совместно со следующими органами по надзору и контроль за безопасностью товаров (продукции) государств – членов Таможенного союза, уполномоченными на ведение Реестра предприятий третьих стран и Реестра предприятий Таможенного союза: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Республики Беларусь – Министерство сельского хозяйства и продовольствия Республики Беларусь,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Республики Казахстан – Министерство сельского хозяйства Республики Казахстан,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Российской Федерации – Федеральная служба по ветеринарному и фитосанитарному надзору.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В составе каждой поставки данных в Комиссию Таможенного союза необходимо направить следующие файлы: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файл с информацией, содержащейся в Реестре предприятий третьих стран. Структура наименования файла и форматы полей описаны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файл с информацией, содержащейся в Реестре предприятий Таможенного союза. Структура наименования файла и форматы полей описаны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Обращение уполномоченного органа Стороны в Комиссию Таможенного союза о включении предприятия в Реестр/введении/снятии ограничений.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Структура наименования файла данных форм должна иметь следующий вид: nXXYYYYMMDDhhmmss.xls, где: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n – признак типа формы: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i – Форма реестра организаций и лиц, осуществляющих производство, переработку и (или) хранение подконтрольных товаров, перемещаемых с территории государства одной Стороны на территорию государства другой Стороны (См. 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e – Форма реестра организаций и лиц, осуществляющих производство, переработку и (или) хранение подконтрольных товаров, ввозимых на таможенную территорию Таможенного союза (См.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XX – буквенный код государства – члена Таможенного союза: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BY – Республика Беларусь,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KZ – Республика Казахстан,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RU – Российская Федерация;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YYYY – четыре цифры года, в котором был сформирован файл данных;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MM – цифровое обозначение месяца, в котором был сформирован файл данных;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DD – цифровое обозначение дня месяца, в котором был сформирован файл данных;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hh – цифровое обозначение часа, в котором был сформирован файл данных;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mm – цифровое обозначение минуты, в котором был сформирован файл данных;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ss – цифровое обозначение секунды, в котором был сформирован файл данных;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Наименование файла данных сканированной копии основания для включения предприятия в Реестр/введении/снятии ограничений форм должна соответствовать регистрационному номеру предприятия, выданного уполномоченным органом.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Все файлы форм, направляемые в Комиссию Таможенного союза должны иметь формат Excel 97-2003 (расширение xls). Файл данных должен содержать единственный лист с данными (Лист1). Все данные (заполненные ячейки) имеют формат “Текстовый”. Каждой записи реестра соответствует строго одна строка. Каждому реквизиту реестра соответствует строго одна ячейка в данной строке. Первая строка файла содержит названия реквизитов (столбцов). При подготовке файла данных необходимо принимать во внимание ограничения формата книги MS Excel 97-2003 (максимальное число строк в листе 65536, максимальное число символов в ячейке 32000).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Сканированные копии оснований для включения предприятия в Реестр/введении/снятии ограничений должны быть в формате *.pdf разрешения графики 120 точек на дюйм. Каждый файл должен содержать ровно столько страниц, сколько относится к одному основанию для включения предприятия в Реестр/введении/снятии ограничений.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Файлы с пакетом изменений должны направляться не позднее 1 рабочего дня с момента внесения изменения (актуализации) в Реестр предприятий третьих стран и(или) Реестр предприятий Таможенного союза.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Все данные, упомянутые в настоящем документе, направляются в Комиссию Таможенного союза электронной почтой на адрес: stat@tsouz.ru.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Пересылку файлов необходимо осуществлять в заархивированном виде (архиватор WinZip, WinRar). Наименование архива должно содержать обозначение уполномоченного органа, формирующего обновление, порядковый номер пакета обновления и букву английского алфавита для увеличения емкости нумерации (например, BYBST_A000000001). В архивах пакетов обновлений должны содержаться по одному файлу данных в формате *.xls (с информацией, содержащейся в Реестре предприятий третьих стран или файл с информацией, содержащейся в Реестре предприятий Таможенного союза) и файлы со сканированными копиями оснований для включения предприятия в Реестр/введении/снятии ограничений в формате *.pdf. В теме (subject) сообщения электронной почты необходимо указать тип реестра («Реестр предприятий третьих стран», «Реестр предприятий Таможенного союза»), дату и время формирования пакета обновлений и наименование страны и уполномоченного органа, направляющего данные.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Вместе с данными направляется текстовый файл, в котором сообщается, какие данные и за какой период посылаются и контрольное значение количества единиц записи в реестре (журнал локальной выгрузки). Администратор Комиссии Таможенного союза подтверждает получение данных и сверяет значение количества единиц записи в реестре со значением количества единиц записи в модуле НСИ ИИСВВТ. По итогу загрузки администратор либо сообщает об ошибках при передаче с просьбой направить данные повторно, либо подтверждает успешную загрузку.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Каждый уполномоченный орган в течение 30 дней после вступления в силу настоящих технических условий направит в Комиссию Таможенного союза списки ответственных контактных лиц. Каждый уполномоченный орган в течение 3 рабочих дней уведомляет Комиссию Таможенного союза о любых изменениях в списках ответственных контактных лиц.</w:t>
      </w:r>
    </w:p>
    <w:bookmarkEnd w:id="4"/>
    <w:bookmarkStart w:name="z2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 к Техническим условиям </w:t>
      </w:r>
    </w:p>
    <w:bookmarkEnd w:id="5"/>
    <w:bookmarkStart w:name="z2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Поля файлов данных с информацией, содержащейся</w:t>
      </w:r>
      <w:r>
        <w:br/>
      </w:r>
      <w:r>
        <w:rPr>
          <w:rFonts w:ascii="Times New Roman"/>
          <w:b/>
          <w:i w:val="false"/>
          <w:color w:val="000000"/>
        </w:rPr>
        <w:t>
в Реестре предприятий третьих стран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76"/>
        <w:gridCol w:w="2114"/>
        <w:gridCol w:w="8970"/>
      </w:tblGrid>
      <w:tr>
        <w:trPr>
          <w:trHeight w:val="30" w:hRule="atLeast"/>
        </w:trPr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поля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Имя поля</w:t>
            </w:r>
          </w:p>
        </w:tc>
        <w:tc>
          <w:tcPr>
            <w:tcW w:w="8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поля</w:t>
            </w:r>
          </w:p>
        </w:tc>
      </w:tr>
      <w:tr>
        <w:trPr>
          <w:trHeight w:val="30" w:hRule="atLeast"/>
        </w:trPr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NN</w:t>
            </w:r>
          </w:p>
        </w:tc>
        <w:tc>
          <w:tcPr>
            <w:tcW w:w="8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</w:tr>
      <w:tr>
        <w:trPr>
          <w:trHeight w:val="30" w:hRule="atLeast"/>
        </w:trPr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TP</w:t>
            </w:r>
          </w:p>
        </w:tc>
        <w:tc>
          <w:tcPr>
            <w:tcW w:w="8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продукции</w:t>
            </w:r>
          </w:p>
        </w:tc>
      </w:tr>
      <w:tr>
        <w:trPr>
          <w:trHeight w:val="30" w:hRule="atLeast"/>
        </w:trPr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KS</w:t>
            </w:r>
          </w:p>
        </w:tc>
        <w:tc>
          <w:tcPr>
            <w:tcW w:w="8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Страна-экспортер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(двузначное обозначение Страны-экспортера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соответствии с классификатором «Стран мира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территорий»)</w:t>
            </w:r>
          </w:p>
        </w:tc>
      </w:tr>
      <w:tr>
        <w:trPr>
          <w:trHeight w:val="30" w:hRule="atLeast"/>
        </w:trPr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RC</w:t>
            </w:r>
          </w:p>
        </w:tc>
        <w:tc>
          <w:tcPr>
            <w:tcW w:w="8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Регистрационный номер предприятия, выданный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уполномоченным органом</w:t>
            </w:r>
          </w:p>
        </w:tc>
      </w:tr>
      <w:tr>
        <w:trPr>
          <w:trHeight w:val="30" w:hRule="atLeast"/>
        </w:trPr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NC</w:t>
            </w:r>
          </w:p>
        </w:tc>
        <w:tc>
          <w:tcPr>
            <w:tcW w:w="8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Название предприятия</w:t>
            </w:r>
          </w:p>
        </w:tc>
      </w:tr>
      <w:tr>
        <w:trPr>
          <w:trHeight w:val="30" w:hRule="atLeast"/>
        </w:trPr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RC</w:t>
            </w:r>
          </w:p>
        </w:tc>
        <w:tc>
          <w:tcPr>
            <w:tcW w:w="8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Регион (область, провинция, земля, штат,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воеводство, аймак, уезд)</w:t>
            </w:r>
          </w:p>
        </w:tc>
      </w:tr>
      <w:tr>
        <w:trPr>
          <w:trHeight w:val="30" w:hRule="atLeast"/>
        </w:trPr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AC</w:t>
            </w:r>
          </w:p>
        </w:tc>
        <w:tc>
          <w:tcPr>
            <w:tcW w:w="8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предприятия</w:t>
            </w:r>
          </w:p>
        </w:tc>
      </w:tr>
      <w:tr>
        <w:trPr>
          <w:trHeight w:val="30" w:hRule="atLeast"/>
        </w:trPr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BC</w:t>
            </w:r>
          </w:p>
        </w:tc>
        <w:tc>
          <w:tcPr>
            <w:tcW w:w="8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деятельности</w:t>
            </w:r>
          </w:p>
        </w:tc>
      </w:tr>
      <w:tr>
        <w:trPr>
          <w:trHeight w:val="30" w:hRule="atLeast"/>
        </w:trPr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SC</w:t>
            </w:r>
          </w:p>
        </w:tc>
        <w:tc>
          <w:tcPr>
            <w:tcW w:w="8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Ветеринарно-санитарный статус предприятия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(разрешено/запрещено/усиленный контроль)</w:t>
            </w:r>
          </w:p>
        </w:tc>
      </w:tr>
      <w:tr>
        <w:trPr>
          <w:trHeight w:val="30" w:hRule="atLeast"/>
        </w:trPr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BC</w:t>
            </w:r>
          </w:p>
        </w:tc>
        <w:tc>
          <w:tcPr>
            <w:tcW w:w="8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Обращение уполномоченного органа Стороны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Комиссию Таможенного союза о включении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предприятия в Реестр/введении/снятии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ограничений</w:t>
            </w:r>
          </w:p>
        </w:tc>
      </w:tr>
    </w:tbl>
    <w:bookmarkStart w:name="z2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 к Техническим условиям </w:t>
      </w:r>
    </w:p>
    <w:bookmarkEnd w:id="7"/>
    <w:bookmarkStart w:name="z29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Поля файлов данных с информацией, содержащейся</w:t>
      </w:r>
      <w:r>
        <w:br/>
      </w:r>
      <w:r>
        <w:rPr>
          <w:rFonts w:ascii="Times New Roman"/>
          <w:b/>
          <w:i w:val="false"/>
          <w:color w:val="000000"/>
        </w:rPr>
        <w:t>
в Реестре предприятий Таможенного союза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68"/>
        <w:gridCol w:w="1736"/>
        <w:gridCol w:w="8956"/>
      </w:tblGrid>
      <w:tr>
        <w:trPr>
          <w:trHeight w:val="30" w:hRule="atLeast"/>
        </w:trPr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поля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Имя поля</w:t>
            </w:r>
          </w:p>
        </w:tc>
        <w:tc>
          <w:tcPr>
            <w:tcW w:w="8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поля</w:t>
            </w:r>
          </w:p>
        </w:tc>
      </w:tr>
      <w:tr>
        <w:trPr>
          <w:trHeight w:val="30" w:hRule="atLeast"/>
        </w:trPr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NN</w:t>
            </w:r>
          </w:p>
        </w:tc>
        <w:tc>
          <w:tcPr>
            <w:tcW w:w="8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</w:tr>
      <w:tr>
        <w:trPr>
          <w:trHeight w:val="30" w:hRule="atLeast"/>
        </w:trPr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TP</w:t>
            </w:r>
          </w:p>
        </w:tc>
        <w:tc>
          <w:tcPr>
            <w:tcW w:w="8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продукции</w:t>
            </w:r>
          </w:p>
        </w:tc>
      </w:tr>
      <w:tr>
        <w:trPr>
          <w:trHeight w:val="30" w:hRule="atLeast"/>
        </w:trPr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KS</w:t>
            </w:r>
          </w:p>
        </w:tc>
        <w:tc>
          <w:tcPr>
            <w:tcW w:w="8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Государство-член Таможенного союза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(Республика Беларусь – BY, Республика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– KZ, Российская Федерация – RU)</w:t>
            </w:r>
          </w:p>
        </w:tc>
      </w:tr>
      <w:tr>
        <w:trPr>
          <w:trHeight w:val="30" w:hRule="atLeast"/>
        </w:trPr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RC</w:t>
            </w:r>
          </w:p>
        </w:tc>
        <w:tc>
          <w:tcPr>
            <w:tcW w:w="8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Регистрационный номер предприятия, выданный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уполномоченным органом</w:t>
            </w:r>
          </w:p>
        </w:tc>
      </w:tr>
      <w:tr>
        <w:trPr>
          <w:trHeight w:val="30" w:hRule="atLeast"/>
        </w:trPr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NC</w:t>
            </w:r>
          </w:p>
        </w:tc>
        <w:tc>
          <w:tcPr>
            <w:tcW w:w="8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Название предприятия</w:t>
            </w:r>
          </w:p>
        </w:tc>
      </w:tr>
      <w:tr>
        <w:trPr>
          <w:trHeight w:val="30" w:hRule="atLeast"/>
        </w:trPr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RC</w:t>
            </w:r>
          </w:p>
        </w:tc>
        <w:tc>
          <w:tcPr>
            <w:tcW w:w="8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Регион (область, провинция, земля, штат,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воеводство, аймак, уезд)</w:t>
            </w:r>
          </w:p>
        </w:tc>
      </w:tr>
      <w:tr>
        <w:trPr>
          <w:trHeight w:val="30" w:hRule="atLeast"/>
        </w:trPr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AC</w:t>
            </w:r>
          </w:p>
        </w:tc>
        <w:tc>
          <w:tcPr>
            <w:tcW w:w="8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предприятия</w:t>
            </w:r>
          </w:p>
        </w:tc>
      </w:tr>
      <w:tr>
        <w:trPr>
          <w:trHeight w:val="30" w:hRule="atLeast"/>
        </w:trPr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BC</w:t>
            </w:r>
          </w:p>
        </w:tc>
        <w:tc>
          <w:tcPr>
            <w:tcW w:w="8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деятельности</w:t>
            </w:r>
          </w:p>
        </w:tc>
      </w:tr>
      <w:tr>
        <w:trPr>
          <w:trHeight w:val="30" w:hRule="atLeast"/>
        </w:trPr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SC</w:t>
            </w:r>
          </w:p>
        </w:tc>
        <w:tc>
          <w:tcPr>
            <w:tcW w:w="8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Ветеринарно-санитарный статус предприятия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(разрешено/запрещено/усиленный контроль)</w:t>
            </w:r>
          </w:p>
        </w:tc>
      </w:tr>
      <w:tr>
        <w:trPr>
          <w:trHeight w:val="30" w:hRule="atLeast"/>
        </w:trPr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BC</w:t>
            </w:r>
          </w:p>
        </w:tc>
        <w:tc>
          <w:tcPr>
            <w:tcW w:w="8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Обращение уполномоченного органа Стороны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Комиссию Таможенного союза о включении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предприятия в Реестр/введении/снятии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ограничений</w:t>
            </w:r>
          </w:p>
        </w:tc>
      </w:tr>
    </w:tbl>
    <w:bookmarkStart w:name="z3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Решением Комиссии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Таможенного союза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17 августа 2010 года № 342  </w:t>
      </w:r>
    </w:p>
    <w:bookmarkEnd w:id="9"/>
    <w:bookmarkStart w:name="z31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ПЛАН</w:t>
      </w:r>
      <w:r>
        <w:br/>
      </w:r>
      <w:r>
        <w:rPr>
          <w:rFonts w:ascii="Times New Roman"/>
          <w:b/>
          <w:i w:val="false"/>
          <w:color w:val="000000"/>
        </w:rPr>
        <w:t>
разработки и утверждения проектов документов</w:t>
      </w:r>
      <w:r>
        <w:br/>
      </w:r>
      <w:r>
        <w:rPr>
          <w:rFonts w:ascii="Times New Roman"/>
          <w:b/>
          <w:i w:val="false"/>
          <w:color w:val="000000"/>
        </w:rPr>
        <w:t>
по направлению «Ветеринарные меры»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"/>
        <w:gridCol w:w="3697"/>
        <w:gridCol w:w="2368"/>
        <w:gridCol w:w="1802"/>
        <w:gridCol w:w="1984"/>
        <w:gridCol w:w="1536"/>
        <w:gridCol w:w="1674"/>
      </w:tblGrid>
      <w:tr>
        <w:trPr>
          <w:trHeight w:val="30" w:hRule="atLeast"/>
        </w:trPr>
        <w:tc>
          <w:tcPr>
            <w:tcW w:w="7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36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</w:t>
            </w:r>
          </w:p>
        </w:tc>
        <w:tc>
          <w:tcPr>
            <w:tcW w:w="23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Разработчик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проекта</w:t>
            </w:r>
          </w:p>
        </w:tc>
        <w:tc>
          <w:tcPr>
            <w:tcW w:w="18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орган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Стороны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русь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Россий-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рация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Образцы единых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сертификатов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Таможенного союза,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 к ним,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порядок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оформления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заполнения: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разработка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проекта документа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согласование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проекта документа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утверждение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проекта документа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Российская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Федерация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сентябрь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Минсель-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хозпрод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Р.Б.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сельхоз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Р.К.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Минсель-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 Р.Ф.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утверждение Единых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 ветеринарных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сертификатов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ввозимые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таможенную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Таможенного союза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подконтрольные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товары из третьих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стран: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разработка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проекта документа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согласование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проекта документа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утверждение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проекта документа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Беларусь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февраль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март 2011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апрель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Минсельхоз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 Р.Б.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Минсель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Р.К.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Минсель-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 Р.Ф.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Правила 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реестра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 и лиц,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осуществляющих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переработку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(или) хранение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подконтрольных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перемещаемых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территории 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государства – член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Таможенного союза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территорию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государства–члена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Таможенного союза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реестра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 и лиц,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осуществляющих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переработку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(или) хранение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подконтрольных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товаров, ввозимых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таможенную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Таможенного союза: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разработка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проекта документа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согласование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проекта документа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утверждение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проекта документа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Российская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Федерация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февраль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март 2011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апрель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Минсельхоз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 Р.Б.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Минсель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Р.К.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Минсель-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 Р.Ф.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Утверждены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Решением Комиссии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Таможенного союза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17 августа 2010 года № 342 </w:t>
      </w:r>
    </w:p>
    <w:bookmarkStart w:name="z32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ИЗМЕНЕНИЯ</w:t>
      </w:r>
      <w:r>
        <w:br/>
      </w:r>
      <w:r>
        <w:rPr>
          <w:rFonts w:ascii="Times New Roman"/>
          <w:b/>
          <w:i w:val="false"/>
          <w:color w:val="000000"/>
        </w:rPr>
        <w:t>
в Единые ветеринарные (ветеринарно-санитарные) требования,</w:t>
      </w:r>
      <w:r>
        <w:br/>
      </w:r>
      <w:r>
        <w:rPr>
          <w:rFonts w:ascii="Times New Roman"/>
          <w:b/>
          <w:i w:val="false"/>
          <w:color w:val="000000"/>
        </w:rPr>
        <w:t>
предъявляемые к товарам, подлежащим ветеринарному контролю</w:t>
      </w:r>
      <w:r>
        <w:br/>
      </w:r>
      <w:r>
        <w:rPr>
          <w:rFonts w:ascii="Times New Roman"/>
          <w:b/>
          <w:i w:val="false"/>
          <w:color w:val="000000"/>
        </w:rPr>
        <w:t>
(надзору), утвержденные Решением Комиссии Таможенного союза</w:t>
      </w:r>
      <w:r>
        <w:br/>
      </w:r>
      <w:r>
        <w:rPr>
          <w:rFonts w:ascii="Times New Roman"/>
          <w:b/>
          <w:i w:val="false"/>
          <w:color w:val="000000"/>
        </w:rPr>
        <w:t>
от 18 июня 2010 года № 317</w:t>
      </w:r>
    </w:p>
    <w:bookmarkEnd w:id="11"/>
    <w:bookmarkStart w:name="z3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Внести следующие изменения в Единые ветеринарные (ветеринарно-санитарные) требования, предъявляемые к товарам, подлежащим ветеринарному контролю (надзору), утвержденные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таможенного союза от 18 июня 2010 года № 317: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 главу 36 «Ветеринарно-санитарные требования при ввозе на таможенную территорию Таможенного союза и (или) перемещению между Сторонами кормов для животных растительного происхождения»: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1.1. в пункте 7 вместо «кадмий 0,1» внести «кадмий 0,4»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1.2. дополнить пунктом 8 «Шрот соевый: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а) токсичные элементы: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ртуть             0,02;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кадмий            0,4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свинец            0,5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мышьяк            0,5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б) микотоксины: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зеараленон        1,0;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T-2 токсин        0,1;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дезоксиниваленол  1,0;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афлатоксин В1     0,05;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охратоксин А      0,05;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в) пестициды (необходимы данные об их применении при производстве, хранение и транспортировке – по каждой стране - поставщике продукции).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Суммарная бета - активность не должна превышать 600 беккерелей на 1 кг во всех перечисленных продуктах.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 главу 38 «Ветеринарно-санитарные требования при ввозе на таможенную территорию Таможенного союза и (или) перемещению между Сторонами охотничьих трофеев»: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2.1. пункт 2 после слов «ветеринарными сертификатами» дополнить словами «и разрешениями на ввоз»;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2.2. дополнить главу пунктом 4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«Ввоз на таможенную территорию Таможенного союза и перемещение между Сторонами охотничьих трофеев из регионов благополучных по указанным в пункте 3 заболеваниям, а также из неблагополучных по указанным заболеваниям регионов, но подвергнутых обработке (дезинфекции) в соответствии с правилами, принятыми в стране происхождения охотничьих трофеев, что подтверждено ветеринарным сертификатом, осуществляется без разрешения уполномоченного органа Стороны».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Раздел Заключительные и переходные положения дополнить пунктом 4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«При взаимной торговле Сторон с третьими странами допускается использование в период до 1 января 2012 года ветеринарных сертификатов, оформленных по парафированным со странами – экспортерами формам  по состоянию на 1 июля 2010 года. Ввозимые на таможенную территорию Таможенного союза по таким ветеринарным сертификатам подконтрольные товары из третьих стран должны соответствовать Единым ветеринарно-санитарным требованиям Таможенного союза и могут обращаться только на территории Стороны, осуществившей ввоз».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Утверждено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Решением Комиссии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Таможенного союза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17 августа 2010 года № 342 </w:t>
      </w:r>
    </w:p>
    <w:bookmarkStart w:name="z41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ИЗМЕНЕНИЯ</w:t>
      </w:r>
      <w:r>
        <w:br/>
      </w:r>
      <w:r>
        <w:rPr>
          <w:rFonts w:ascii="Times New Roman"/>
          <w:b/>
          <w:i w:val="false"/>
          <w:color w:val="000000"/>
        </w:rPr>
        <w:t>
в Положение о едином порядке осуществления ветеринарного</w:t>
      </w:r>
      <w:r>
        <w:br/>
      </w:r>
      <w:r>
        <w:rPr>
          <w:rFonts w:ascii="Times New Roman"/>
          <w:b/>
          <w:i w:val="false"/>
          <w:color w:val="000000"/>
        </w:rPr>
        <w:t>
контроля на таможенной границе Таможенного союза и таможенной</w:t>
      </w:r>
      <w:r>
        <w:br/>
      </w:r>
      <w:r>
        <w:rPr>
          <w:rFonts w:ascii="Times New Roman"/>
          <w:b/>
          <w:i w:val="false"/>
          <w:color w:val="000000"/>
        </w:rPr>
        <w:t>
территории Таможенного союза, утвержденное Решением Комиссии</w:t>
      </w:r>
      <w:r>
        <w:br/>
      </w:r>
      <w:r>
        <w:rPr>
          <w:rFonts w:ascii="Times New Roman"/>
          <w:b/>
          <w:i w:val="false"/>
          <w:color w:val="000000"/>
        </w:rPr>
        <w:t>
Таможенного союза от 18 июня 2010 года № 317</w:t>
      </w:r>
    </w:p>
    <w:bookmarkEnd w:id="13"/>
    <w:bookmarkStart w:name="z4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Внести в Положение о Едином порядке осуществления ветеринарного контроля на таможенной границе Таможенного союза и на таможенной территории Таможенного союза, утвержденное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таможенного союза от 18 июня 2010 года № 317,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 пункте 7.4 слова «Вывоз разрешен» заменить словами «Транзит завершен»;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 пункте 9.1. после слов «причин приостановки движения подконтрольного товара» словами «в электронном виде на электронную почту уполномоченного органа Стороны согласно приложению № 11».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Раздел XI. Заключительные и переходные положения дополнить пунктом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«11.3. До формирования Единого реестра организаций и лиц, осуществляющих производство, переработку и (или) хранение подконтрольных товаров, ввозимых на таможенную территорию Таможенного союза, уполномоченным органам Сторон при выдаче разрешительных документов на ввоз подконтрольных товаров и осуществлении ветеринарного контроля на таможенной границе Таможенного союза руководствоваться списками предприятий иностранных государств, из которых разрешен ввоз подконтрольных товаров, размещенных на официальных сайтах уполномоченных органов Сторон.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отношении следующих товаров: животные; генетический материал; продукция пчеловодства; сырье животного происхождения (шкуры, шерсть, пушно-меховое сырье, перо и т.д.); пищевые добавки животного происхождения; корма растительного происхождения и т.д., производство, переработка и/или хранение которых осуществляют организации и лица, не включенные в указанные списки, ввоз на таможенную территорию Таможенного союза осуществляется по разрешению, выданному уполномоченным органом Стороны с учетом эпизоотической ситуации».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в приложении № 3: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4.1. в разделе «Образцы штампов ветеринарного надзора»: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во все образцы штампов в правом верхнем углу добавить вторую строку следующего содержания: «001»;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дополнить следующим образцом штампа: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3"/>
        <w:gridCol w:w="5153"/>
        <w:gridCol w:w="1013"/>
      </w:tblGrid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BY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УПОЛНОМОЧЕННЫЙ ОРГАН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Ветеринарный надзор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Транзит завершен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Госветинспектор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дата          подпись</w:t>
            </w:r>
          </w:p>
        </w:tc>
      </w:tr>
    </w:tbl>
    <w:bookmarkStart w:name="z4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4.2. в разделе «Указания по применению»: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 в абзаце 3 после слов «код региона» добавить слова «и трехзначный код пограничного ветеринарного пункта, который располагается под кодом региона»;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 дополнить его абзацем следующего содержания: «В верхней строчке штампа указывается уполномоченный орган Стороны, осуществляющий ветеринарный контроль (надзор) на границе и транспорте».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 дополнить приложением № 11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Оперативная информация о товарах, движение которых приостановлено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50"/>
        <w:gridCol w:w="1331"/>
        <w:gridCol w:w="1525"/>
        <w:gridCol w:w="1448"/>
        <w:gridCol w:w="1699"/>
        <w:gridCol w:w="1815"/>
        <w:gridCol w:w="1757"/>
        <w:gridCol w:w="2935"/>
      </w:tblGrid>
      <w:tr>
        <w:trPr>
          <w:trHeight w:val="30" w:hRule="atLeast"/>
        </w:trPr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жания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ство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экспор-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товара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Таможен-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 Союзе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Причина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задержа-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ния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ветеринарного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сертификата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(удостоверения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качества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лек. средств,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кормовых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добавок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химического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микробиологи-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синтеза)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