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3a2e" w14:textId="af83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мер нетарифного регулирования в рамках единой таможенной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333.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реализации Положения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металлов, драгоценных камней и сырьевых товаров, содержащих драгоценные металлы.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Казахстан до 1 июля 2011 года завершить работу по обеспечению реализации Положения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металлов, драгоценных камней, сырьевых товаров, содержащих драгоценные металлы.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государства-члены таможенного союза подготовить проект документа, регулирующего вопросы обращения драгоценных металлов и драгоценных камней на территории таможенного союза и в срок не позднее 31 декабря 2010 года представить указанный проект на рассмотрение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Предоставить Сторонам в срок до 1 октября 2010 года возможность оформления участниками внешнеторговой деятельности заявлений о выдаче лицензий на экспорт и (или) импорт товаров и оформления лицензий в отношении таких заявлений по формам, утвержденным национальным законодательством.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реализации требований Положения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металлов, драгоценных камней, сырьевых товаров, содержащих драгоценные металлы, в части осуществления государственного контроля драгоценных металлов, драгоценных камней и сырьевых товаров, содержащих драгоценные металлы, идентификации драгоценных камней, до 1 июля 2011 года руководствоваться национальным законодательством государств-участников таможенного союза.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