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58b0" w14:textId="d3f5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форме общего реестра владельцев свободных складов государств-членов таможенного союза и порядке его ведения и формирования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июня 2010 года № 332. Утратило силу решением Комиссии таможенного союза от 11 декабря 2012 года № 271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 11.12.2012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таможенного союза</w:t>
      </w:r>
      <w:r>
        <w:rPr>
          <w:rFonts w:ascii="Times New Roman"/>
          <w:b/>
          <w:i w:val="false"/>
          <w:color w:val="000000"/>
          <w:sz w:val="28"/>
        </w:rPr>
        <w:t xml:space="preserve"> 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реестра владельцев свободных складов, порядок его формирования (прилагается).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июня 2010 г. № 332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общего реестра владельцев свободных складов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"/>
        <w:gridCol w:w="873"/>
        <w:gridCol w:w="1047"/>
        <w:gridCol w:w="873"/>
        <w:gridCol w:w="873"/>
        <w:gridCol w:w="960"/>
        <w:gridCol w:w="436"/>
        <w:gridCol w:w="611"/>
        <w:gridCol w:w="699"/>
        <w:gridCol w:w="612"/>
        <w:gridCol w:w="787"/>
      </w:tblGrid>
      <w:tr>
        <w:trPr>
          <w:trHeight w:val="322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СК/дата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цев СК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хождение,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СК, сайт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почты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(БИН)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склада*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СК*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*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4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*- графа заполняется в порядке, установленном законодательством государства-члена таможенного союза.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формирования общего реестра владельцев</w:t>
      </w:r>
      <w:r>
        <w:br/>
      </w:r>
      <w:r>
        <w:rPr>
          <w:rFonts w:ascii="Times New Roman"/>
          <w:b/>
          <w:i w:val="false"/>
          <w:color w:val="000000"/>
        </w:rPr>
        <w:t>
свободных складов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Формирование реестра владельцев свободных складов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включения юридического лица в реестр владельцев свободных складов;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исключения юридического лица из реестра владельцев свободных складов;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реестр владельцев свободных складов в случае изменения сведений, заявленных юридическим лицом при включении в реестр владельцев свободных складов.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Таможенный орган государства-члена таможенного союза обеспечивает направление в Комиссию таможенного союза реестра владельцев свободных складов не позднее одного рабочего дня с даты внесения в него изменений, в том числе с использованием информационных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таможенного союза на основании реестров владельцев свободных складов, поступивших в соответствии с пунктом 2 настоящего порядка из таможенных органов государств-членов таможенного союза, формирует общий реестр владельцев свободных складов и обеспечивает его опубликование на официальном сайте Комиссии таможенного союза не позднее одного рабочего дня с даты получения информации, упомянутой в пункте 2 настоящего порядка, в том числе с использованием информационных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Формирование реестров владельцев свободных складов осуществляют: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– Государственный таможенный комитет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– Федеральная таможенная служба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– Комитет таможенного контроля Министерства финансов Республики Казахстан.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