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58b0" w14:textId="d3f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общего реестра владельцев свободных складов государств-членов таможенного союза и порядке его ведения и формирования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332. Утратило силу решением Комиссии таможенного союза от 11 декабря 2012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11.12.2012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реестра владельцев свободных складов, порядок его формирования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2010 г. № 332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свободных складов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873"/>
        <w:gridCol w:w="1047"/>
        <w:gridCol w:w="873"/>
        <w:gridCol w:w="873"/>
        <w:gridCol w:w="960"/>
        <w:gridCol w:w="436"/>
        <w:gridCol w:w="611"/>
        <w:gridCol w:w="699"/>
        <w:gridCol w:w="612"/>
        <w:gridCol w:w="787"/>
      </w:tblGrid>
      <w:tr>
        <w:trPr>
          <w:trHeight w:val="32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СК/дата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 СК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почты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(БИН)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склада*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СК*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*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*- графа заполняется в порядке, установленном законодательством государства-члена таможенного союза.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формирования общего реестра владельцев</w:t>
      </w:r>
      <w:r>
        <w:br/>
      </w:r>
      <w:r>
        <w:rPr>
          <w:rFonts w:ascii="Times New Roman"/>
          <w:b/>
          <w:i w:val="false"/>
          <w:color w:val="000000"/>
        </w:rPr>
        <w:t>
свободных складов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владельцев свободных складов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включения юридического лица в реестр владельцев свободных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исключения юридического лица из реестра владельцев свободных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владельцев свободных складов в случае изменения сведений, заявленных юридическим лицом при включении в реестр владельцев свободных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государства-члена таможенного союза обеспечивает направление в Комиссию таможенного союза реестра владельцев свободных складов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на основании реестров владельцев свободных складов, поступивших в соответствии с пунктом 2 настоящего порядка из таможенных органов государств-членов таможенного союза, формирует общий реестр владельцев свободных складов и обеспечивает его опубликование на официальном сайте Комиссии таможенного союза не позднее одного рабочего дня с даты получения информации, упомянутой в пункте 2 настоящего порядка,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реестров владельцев свободных складов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таможенного контроля Министерства финансов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