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8451" w14:textId="70a8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тарифных льгот, полного освобождения от таможенных пошлин, налогов, а также продлении сроков временного ввоза и применении отдельных таможенных процедур при ввозе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июля 2010 года № 328.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7.1</w:t>
      </w:r>
      <w:r>
        <w:rPr>
          <w:rFonts w:ascii="Times New Roman"/>
          <w:b w:val="false"/>
          <w:i w:val="false"/>
          <w:color w:val="000000"/>
          <w:sz w:val="28"/>
        </w:rPr>
        <w:t>. Решения Комиссии Таможенного союза от 27 ноября 2009 года № 130 "О Едином таможенно-тарифном регулировании таможенного союза Республики Беларусь, Республики Казахстан и Российской Федерации" подпунктами 7.1.13, 7.1.14 и 7.1.15 следующего содержания: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"7.1.13. Гражданские пассажирские самолеты (код Товарной номенклатуры внешнеэкономической деятельности таможенного союза 8802 40 002 2), ввозимые до 1 июля 2014 года в Республику Беларусь и Республику Казахстан, в целях их использования для международных перевозок и (или) внутренних перевозок по территории государства, где осуществляется ввоз данного товара, и (или) между территориями государств – членов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7.1.14. Гражданские пассажирские самолеты (код Товарной номенклатуры внешнеэкономической деятельности таможенного союза 8802 40 002 2), ввезенные в Республику Беларусь и Республику Казахстан с применением льготы, указанной в пункте 7.1.13. настоящего Решения, и ввозимые в течение срока их эксплуатации в Республику Беларусь и Республику Казахстан после их ремонта или технического обслуживания за пределами таможенной территории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7.1.15. Авиационные двигатели, запасные части и оборудование, необходимые для ремонта и технического обслуживания гражданских пассажирских самолетов иностранного производства".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в Перечень товаров, временно ввозимых с полным условным освобождением от уплаты таможенных пошлин, налогов, пункт следующего содержания: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"Гражданские пассажирские самолеты, классифицируемые кодами единой Товарной номенклатуры внешнеэкономической деятельности Таможенного союза 8802 40 003 2 и 8802 40 004 2, за исключением воздушных судов с максимальным количеством посадочных мест, указанным в схеме размещения пассажиров (LOPA), одобренным уполномоченным органом, ответственным за поддержание летной годности воздушных судов, свыше 50 и менее 111 мест и свыше 170 и менее 219 мест, в случае заключения участниками внешнеэкономической деятельности государств-членов Таможенного союза договоров и помещения самолетов под таможенную процедуру временного ввоза (допуска) до 31 декабря 2013 года и на срок, превышающий указанную дату не более чем на 5 лет".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Комиссии таможенного союза от 20.09.2010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официального опубликования Комиссией Таможенного союза); от 28.01.2011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02.03.2011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установить предельные сроки временного ввоза в отношении: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</w:t>
      </w:r>
      <w:r>
        <w:rPr>
          <w:rFonts w:ascii="Times New Roman"/>
          <w:b w:val="false"/>
          <w:i/>
          <w:color w:val="000000"/>
          <w:sz w:val="28"/>
        </w:rPr>
        <w:t xml:space="preserve"> утратил силу решением Совета Евразийской экономической комиссии от 21.12.2016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гражданских пассажирских самолетов, не указанных в пункте 2 настоящего Решения – срок до 34 месяцев с частичным условным освобождением от уплаты таможенных пошлин, налогов.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Совета Евразийской экономической комиссии от 21.12.2016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140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284 Таможенного кодекса Таможенного союза установить, что проценты, указанные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284 Таможенного кодекса Таможенного союза, не уплачиваются в отношении товаров, указанных в пунктах 2 и 3 настоящего Решения.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в соответствии с пунктом 2 статьи 281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 таможенной процедуры временного ввоза (допуска) в отношении гражданских пассажирских самолетов и товаров, необходимых для их технического обслуживания и ремонта, может быть приостановлено в случае помещения указанных товаров под таможенную процедуру переработки на таможенной территории или под специальную таможенную процедуру.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решением Совета Евразийской экономической комиссии от 28.04.2017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Не позднее 1 июля 2013 года рассмотреть вопрос о целесообразности продления сроков, указанных в пунктах 1, 2 и 3 настоящего Решения.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