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c755" w14:textId="6d3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международных соглашениях, подготовленных в соответствии с Планом мероприятий по введению в действие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286.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Планом мероприятий по введению в действие Таможенного кодекса таможенного союза, утвержденным Решением Межгоссовета ЕврАзЭС (высшего органа таможенного союза) от 27 ноября 2009 года № 17,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проекты международных соглашений,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таможенного союза подписать проекты международных соглашений, указанные в приложении к настоящему Решению, в рабочем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таможенным службам государств-членов таможенного союза до 1 июля 2010 года разработать и принять временный порядок обмена информацией между собой о фактическом вывозе товаров, перемещаемых по линиям электропередачи и трубопроводным транспортом за пределы таможенной территории таможенного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года № 286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соглашений, подготовленных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Планом мероприятий по введению в действие Таможенного кодекса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утвержденным Решением Межгоссовета ЕврАзЭС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от 27 ноября 2009 года № 17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свободных складах и таможенной процедуре свободного склада.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Комиссии таможенного союза от 07.04.2011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