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f05e" w14:textId="fb4f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средств криптографической защиты при осуществлении информационного обмена между налоговыми органами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 1 июля 2010 года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до реализации межправительственного Соглашения о применении информационных технологий при обмене электронными документами во внешней и взаимной торговле: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поручить уполномоченному органу по созданию интеграционного сегмента в рамках информационной системы внешней и взаимной торговли Комиссии таможенного союза согласовать применение средства криптографической защиты, используемого при информационном обмене между налоговыми органами Республики Беларусь 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