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eee9" w14:textId="9cbe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требованиях, применяемых к обустройству системы двойного коридора в местах прибытия товаров на таможенную территорию таможенного союза и убытия с этой территории</w:t>
      </w:r>
    </w:p>
    <w:p>
      <w:pPr>
        <w:spacing w:after="0"/>
        <w:ind w:left="0"/>
        <w:jc w:val="both"/>
      </w:pPr>
      <w:r>
        <w:rPr>
          <w:rFonts w:ascii="Times New Roman"/>
          <w:b w:val="false"/>
          <w:i w:val="false"/>
          <w:color w:val="000000"/>
          <w:sz w:val="28"/>
        </w:rPr>
        <w:t>Решение Комиссии таможенного союза от 20 мая 2010 года № 259</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357 Таможенного кодекса таможенного союза Комиссия таможенного союза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1.Утвердить </w:t>
      </w:r>
      <w:r>
        <w:rPr>
          <w:rFonts w:ascii="Times New Roman"/>
          <w:b w:val="false"/>
          <w:i w:val="false"/>
          <w:color w:val="000000"/>
          <w:sz w:val="28"/>
        </w:rPr>
        <w:t>Требования</w:t>
      </w:r>
      <w:r>
        <w:rPr>
          <w:rFonts w:ascii="Times New Roman"/>
          <w:b w:val="false"/>
          <w:i w:val="false"/>
          <w:color w:val="000000"/>
          <w:sz w:val="28"/>
        </w:rPr>
        <w:t>, применяемые к обустройству системы двойного коридора в местах прибытия товаров на таможенную территорию таможенного союза и убытия с этой территории (прилагаются).</w:t>
      </w:r>
      <w:r>
        <w:br/>
      </w:r>
      <w:r>
        <w:rPr>
          <w:rFonts w:ascii="Times New Roman"/>
          <w:b w:val="false"/>
          <w:i w:val="false"/>
          <w:color w:val="000000"/>
          <w:sz w:val="28"/>
        </w:rPr>
        <w:t>
</w:t>
      </w:r>
      <w:r>
        <w:rPr>
          <w:rFonts w:ascii="Times New Roman"/>
          <w:b w:val="false"/>
          <w:i w:val="false"/>
          <w:color w:val="000000"/>
          <w:sz w:val="28"/>
        </w:rPr>
        <w:t>
      2.Настоящее решение вступает в силу с даты вступления в силу </w:t>
      </w:r>
      <w:r>
        <w:rPr>
          <w:rFonts w:ascii="Times New Roman"/>
          <w:b w:val="false"/>
          <w:i w:val="false"/>
          <w:color w:val="000000"/>
          <w:sz w:val="28"/>
        </w:rPr>
        <w:t>Договора</w:t>
      </w:r>
      <w:r>
        <w:rPr>
          <w:rFonts w:ascii="Times New Roman"/>
          <w:b w:val="false"/>
          <w:i w:val="false"/>
          <w:color w:val="000000"/>
          <w:sz w:val="28"/>
        </w:rPr>
        <w:t xml:space="preserve"> о Таможенном кодексе таможенного союза, утвержденного Решением Межгосударственного Совета Евразийского экономического сообщества (высшего органа таможенного союза) на уровне глав государств от 27 ноября 2009 года № 17.</w:t>
      </w:r>
    </w:p>
    <w:bookmarkEnd w:id="0"/>
    <w:p>
      <w:pPr>
        <w:spacing w:after="0"/>
        <w:ind w:left="0"/>
        <w:jc w:val="both"/>
      </w:pPr>
      <w:r>
        <w:rPr>
          <w:rFonts w:ascii="Times New Roman"/>
          <w:b w:val="false"/>
          <w:i/>
          <w:color w:val="000000"/>
          <w:sz w:val="28"/>
        </w:rPr>
        <w:t>Члены Комиссии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4313"/>
        <w:gridCol w:w="43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Беларусь</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Казахстан</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Федерации</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А.Кобяков</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У.Шукеев</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И.Шувалов</w:t>
            </w:r>
          </w:p>
        </w:tc>
      </w:tr>
    </w:tbl>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Решением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от 20 мая 2010 года № 259</w:t>
      </w:r>
    </w:p>
    <w:bookmarkStart w:name="z4" w:id="1"/>
    <w:p>
      <w:pPr>
        <w:spacing w:after="0"/>
        <w:ind w:left="0"/>
        <w:jc w:val="left"/>
      </w:pPr>
      <w:r>
        <w:rPr>
          <w:rFonts w:ascii="Times New Roman"/>
          <w:b/>
          <w:i w:val="false"/>
          <w:color w:val="000000"/>
        </w:rPr>
        <w:t xml:space="preserve"> 
Требования, применяемые к обустройству системы двойного</w:t>
      </w:r>
      <w:r>
        <w:br/>
      </w:r>
      <w:r>
        <w:rPr>
          <w:rFonts w:ascii="Times New Roman"/>
          <w:b/>
          <w:i w:val="false"/>
          <w:color w:val="000000"/>
        </w:rPr>
        <w:t>
коридора в местах прибытия товаров на таможенную территорию</w:t>
      </w:r>
      <w:r>
        <w:br/>
      </w:r>
      <w:r>
        <w:rPr>
          <w:rFonts w:ascii="Times New Roman"/>
          <w:b/>
          <w:i w:val="false"/>
          <w:color w:val="000000"/>
        </w:rPr>
        <w:t>
таможенного союза и убытия с этой территории</w:t>
      </w:r>
    </w:p>
    <w:bookmarkEnd w:id="1"/>
    <w:bookmarkStart w:name="z5" w:id="2"/>
    <w:p>
      <w:pPr>
        <w:spacing w:after="0"/>
        <w:ind w:left="0"/>
        <w:jc w:val="both"/>
      </w:pPr>
      <w:r>
        <w:rPr>
          <w:rFonts w:ascii="Times New Roman"/>
          <w:b w:val="false"/>
          <w:i w:val="false"/>
          <w:color w:val="000000"/>
          <w:sz w:val="28"/>
        </w:rPr>
        <w:t>
      1. Настоящие Требования, применяемые к обустройству системы двойного коридора в местах прибытия товаров на таможенную территорию таможенного союза и убытия с этой территории (далее – Требования),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357 Таможенного кодекса таможенного союза.</w:t>
      </w:r>
      <w:r>
        <w:br/>
      </w:r>
      <w:r>
        <w:rPr>
          <w:rFonts w:ascii="Times New Roman"/>
          <w:b w:val="false"/>
          <w:i w:val="false"/>
          <w:color w:val="000000"/>
          <w:sz w:val="28"/>
        </w:rPr>
        <w:t>
</w:t>
      </w:r>
      <w:r>
        <w:rPr>
          <w:rFonts w:ascii="Times New Roman"/>
          <w:b w:val="false"/>
          <w:i w:val="false"/>
          <w:color w:val="000000"/>
          <w:sz w:val="28"/>
        </w:rPr>
        <w:t>
      2. Для применения системы двойного коридора в месте прибытия товаров на таможенную территорию таможенного союза (далее – место прибытия товаров) и убытия с этой территории (далее – место убытия товаров) следует выделить не менее одного «красного» и не менее одного «зеленого» коридоров для совершения таможенных операций. Общее количество коридоров таможенный орган определяет самостоятельно с учетом объемов пассажиропотока и имеющихся возможностей.</w:t>
      </w:r>
      <w:r>
        <w:br/>
      </w:r>
      <w:r>
        <w:rPr>
          <w:rFonts w:ascii="Times New Roman"/>
          <w:b w:val="false"/>
          <w:i w:val="false"/>
          <w:color w:val="000000"/>
          <w:sz w:val="28"/>
        </w:rPr>
        <w:t>
</w:t>
      </w:r>
      <w:r>
        <w:rPr>
          <w:rFonts w:ascii="Times New Roman"/>
          <w:b w:val="false"/>
          <w:i w:val="false"/>
          <w:color w:val="000000"/>
          <w:sz w:val="28"/>
        </w:rPr>
        <w:t>
      3. Направление движения к каждому коридору и вход (въезд) в каждый коридор должны быть четко обозначены и различимы.</w:t>
      </w:r>
      <w:r>
        <w:br/>
      </w:r>
      <w:r>
        <w:rPr>
          <w:rFonts w:ascii="Times New Roman"/>
          <w:b w:val="false"/>
          <w:i w:val="false"/>
          <w:color w:val="000000"/>
          <w:sz w:val="28"/>
        </w:rPr>
        <w:t>
</w:t>
      </w:r>
      <w:r>
        <w:rPr>
          <w:rFonts w:ascii="Times New Roman"/>
          <w:b w:val="false"/>
          <w:i w:val="false"/>
          <w:color w:val="000000"/>
          <w:sz w:val="28"/>
        </w:rPr>
        <w:t>
      Вход (въезд) в «красный» коридор обозначается специальным графическим символом в виде квадрата красного цвета на белом фоне, а также выполненными красным цветом на государственном языке государства-члена таможенного союза, русском и английском языках надписями «Красный коридор» и «Red channel», «Товары, подлежащие письменному декларированию» и «Goods to declare».</w:t>
      </w:r>
      <w:r>
        <w:br/>
      </w:r>
      <w:r>
        <w:rPr>
          <w:rFonts w:ascii="Times New Roman"/>
          <w:b w:val="false"/>
          <w:i w:val="false"/>
          <w:color w:val="000000"/>
          <w:sz w:val="28"/>
        </w:rPr>
        <w:t>
</w:t>
      </w:r>
      <w:r>
        <w:rPr>
          <w:rFonts w:ascii="Times New Roman"/>
          <w:b w:val="false"/>
          <w:i w:val="false"/>
          <w:color w:val="000000"/>
          <w:sz w:val="28"/>
        </w:rPr>
        <w:t>
      Вход (въезд) в «зеленый» коридор обозначается специальным графическим символом в виде восьмиугольника зеленого цвета на белом фоне, а также выполненными зеленым цветом на государственном языке государства-члена таможенного союза, русском и английском языках надписями «Зеленый коридор» и «Green channel», «Товаров, подлежащих письменному декларированию, нет» и «Nothing to declare».</w:t>
      </w:r>
      <w:r>
        <w:br/>
      </w:r>
      <w:r>
        <w:rPr>
          <w:rFonts w:ascii="Times New Roman"/>
          <w:b w:val="false"/>
          <w:i w:val="false"/>
          <w:color w:val="000000"/>
          <w:sz w:val="28"/>
        </w:rPr>
        <w:t>
</w:t>
      </w:r>
      <w:r>
        <w:rPr>
          <w:rFonts w:ascii="Times New Roman"/>
          <w:b w:val="false"/>
          <w:i w:val="false"/>
          <w:color w:val="000000"/>
          <w:sz w:val="28"/>
        </w:rPr>
        <w:t>
      Место входа (въезда) в «зеленый» коридор и место выхода (выезда) из «зеленого» коридора обозначаются зелеными (белыми) линиями шириной до 50 сантиметров.</w:t>
      </w:r>
      <w:r>
        <w:br/>
      </w:r>
      <w:r>
        <w:rPr>
          <w:rFonts w:ascii="Times New Roman"/>
          <w:b w:val="false"/>
          <w:i w:val="false"/>
          <w:color w:val="000000"/>
          <w:sz w:val="28"/>
        </w:rPr>
        <w:t>
</w:t>
      </w:r>
      <w:r>
        <w:rPr>
          <w:rFonts w:ascii="Times New Roman"/>
          <w:b w:val="false"/>
          <w:i w:val="false"/>
          <w:color w:val="000000"/>
          <w:sz w:val="28"/>
        </w:rPr>
        <w:t>
      Расстояние между линиями, обозначающими место входа (въезда) в «зеленый» коридор и место выхода (выезда) из «зеленого» коридора, должно быть не менее 2-х метров.</w:t>
      </w:r>
      <w:r>
        <w:br/>
      </w:r>
      <w:r>
        <w:rPr>
          <w:rFonts w:ascii="Times New Roman"/>
          <w:b w:val="false"/>
          <w:i w:val="false"/>
          <w:color w:val="000000"/>
          <w:sz w:val="28"/>
        </w:rPr>
        <w:t>
</w:t>
      </w:r>
      <w:r>
        <w:rPr>
          <w:rFonts w:ascii="Times New Roman"/>
          <w:b w:val="false"/>
          <w:i w:val="false"/>
          <w:color w:val="000000"/>
          <w:sz w:val="28"/>
        </w:rPr>
        <w:t>
      Допускается использование для надписей помимо государственного языка государства таможенного союза, русского и английского, любого другого языка, применение которого признает целесообразным таможенный орган, в регионе деятельности которого расположено место прибытия товаров и место убытия товаров.</w:t>
      </w:r>
      <w:r>
        <w:br/>
      </w:r>
      <w:r>
        <w:rPr>
          <w:rFonts w:ascii="Times New Roman"/>
          <w:b w:val="false"/>
          <w:i w:val="false"/>
          <w:color w:val="000000"/>
          <w:sz w:val="28"/>
        </w:rPr>
        <w:t>
</w:t>
      </w:r>
      <w:r>
        <w:rPr>
          <w:rFonts w:ascii="Times New Roman"/>
          <w:b w:val="false"/>
          <w:i w:val="false"/>
          <w:color w:val="000000"/>
          <w:sz w:val="28"/>
        </w:rPr>
        <w:t>
      4. В месте прибытия товаров коридоры «красный» и «зеленый» должны располагаться после места выдачи багажа, так, чтобы при выборе коридора физическое лицо имело при себе сопровождаемый багаж.</w:t>
      </w:r>
      <w:r>
        <w:br/>
      </w:r>
      <w:r>
        <w:rPr>
          <w:rFonts w:ascii="Times New Roman"/>
          <w:b w:val="false"/>
          <w:i w:val="false"/>
          <w:color w:val="000000"/>
          <w:sz w:val="28"/>
        </w:rPr>
        <w:t>
</w:t>
      </w:r>
      <w:r>
        <w:rPr>
          <w:rFonts w:ascii="Times New Roman"/>
          <w:b w:val="false"/>
          <w:i w:val="false"/>
          <w:color w:val="000000"/>
          <w:sz w:val="28"/>
        </w:rPr>
        <w:t>
      5. В месте убытия товаров коридоры «красный» и «зеленый», как правило, должны располагаться до места регистрации пассажиров и сдачи багажа так, чтобы при выборе канала физическое лицо имело при себе сопровождаемый багаж.</w:t>
      </w:r>
      <w:r>
        <w:br/>
      </w:r>
      <w:r>
        <w:rPr>
          <w:rFonts w:ascii="Times New Roman"/>
          <w:b w:val="false"/>
          <w:i w:val="false"/>
          <w:color w:val="000000"/>
          <w:sz w:val="28"/>
        </w:rPr>
        <w:t>
</w:t>
      </w:r>
      <w:r>
        <w:rPr>
          <w:rFonts w:ascii="Times New Roman"/>
          <w:b w:val="false"/>
          <w:i w:val="false"/>
          <w:color w:val="000000"/>
          <w:sz w:val="28"/>
        </w:rPr>
        <w:t>
      6. В пунктах пропуска через государственные (таможенные) границы государств-членов таможенного союза, расположенных в аэропортах, открытых для международных сообщений (полетов), при убытии товаров с таможенной территории таможенного союза допускается расположение «красного» и «зеленого» коридоров после места регистрации пассажиров и сдачи багажа в случаях создания в них условий, обеспечивающих соблюдение и своевременное выявление нарушений законодательства таможенного союза в отношении товаров, перемещаемых в сопровождаемом багаже, сданном авиаперевозчику до проведения таможенного контроля, и лиц, совершивших такие правонарушения.</w:t>
      </w:r>
      <w:r>
        <w:br/>
      </w:r>
      <w:r>
        <w:rPr>
          <w:rFonts w:ascii="Times New Roman"/>
          <w:b w:val="false"/>
          <w:i w:val="false"/>
          <w:color w:val="000000"/>
          <w:sz w:val="28"/>
        </w:rPr>
        <w:t>
</w:t>
      </w:r>
      <w:r>
        <w:rPr>
          <w:rFonts w:ascii="Times New Roman"/>
          <w:b w:val="false"/>
          <w:i w:val="false"/>
          <w:color w:val="000000"/>
          <w:sz w:val="28"/>
        </w:rPr>
        <w:t>
      7. «Красный» и «зеленый» коридоры в аэропортах, открытых для международных сообщений (полетов), должны быть разделены способом, исключающим наблюдение за лицами, перемещающимися по другому коридору, а также обозначены на государственном языке государства-члена таможенного союза, русском и английском языках надписями «Таможня» и «Customs».</w:t>
      </w:r>
      <w:r>
        <w:br/>
      </w:r>
      <w:r>
        <w:rPr>
          <w:rFonts w:ascii="Times New Roman"/>
          <w:b w:val="false"/>
          <w:i w:val="false"/>
          <w:color w:val="000000"/>
          <w:sz w:val="28"/>
        </w:rPr>
        <w:t>
</w:t>
      </w:r>
      <w:r>
        <w:rPr>
          <w:rFonts w:ascii="Times New Roman"/>
          <w:b w:val="false"/>
          <w:i w:val="false"/>
          <w:color w:val="000000"/>
          <w:sz w:val="28"/>
        </w:rPr>
        <w:t>
      8. Таможенный орган, производящий таможенные операции в отношении товаров для личного пользования, перемещаемых через таможенную границу таможенного союза физическими лицами, должен организовать непосредственно перед системой двойного коридора информационную зону, позволяющую физическому лицу сделать осознанный выбор соответствующего коридора для совершения таможенных операций.</w:t>
      </w:r>
      <w:r>
        <w:br/>
      </w:r>
      <w:r>
        <w:rPr>
          <w:rFonts w:ascii="Times New Roman"/>
          <w:b w:val="false"/>
          <w:i w:val="false"/>
          <w:color w:val="000000"/>
          <w:sz w:val="28"/>
        </w:rPr>
        <w:t>
</w:t>
      </w:r>
      <w:r>
        <w:rPr>
          <w:rFonts w:ascii="Times New Roman"/>
          <w:b w:val="false"/>
          <w:i w:val="false"/>
          <w:color w:val="000000"/>
          <w:sz w:val="28"/>
        </w:rPr>
        <w:t>
      В информационной зоне должны находиться краткие справки об основных положениях таможенного законодательства таможенного союза по вопросам перемещения через таможенную границу таможенного союза физическими лицами товаров для личного пользования и иного законодательства таможенного союза, контроль за исполнением которого возложен на таможенные органы, о порядке применения системы двойного коридора, а также предупреждение об ответственности за нарушение таможенных правил.</w:t>
      </w:r>
      <w:r>
        <w:br/>
      </w:r>
      <w:r>
        <w:rPr>
          <w:rFonts w:ascii="Times New Roman"/>
          <w:b w:val="false"/>
          <w:i w:val="false"/>
          <w:color w:val="000000"/>
          <w:sz w:val="28"/>
        </w:rPr>
        <w:t>
</w:t>
      </w:r>
      <w:r>
        <w:rPr>
          <w:rFonts w:ascii="Times New Roman"/>
          <w:b w:val="false"/>
          <w:i w:val="false"/>
          <w:color w:val="000000"/>
          <w:sz w:val="28"/>
        </w:rPr>
        <w:t>
      Информационную зону оборудуют стендами, щитами, табло и другими устройствами с информационными материалами на государственном языке государства-члена таможенного союза, русском и английском языках, а также на любом другом языке, использование которого признает целесообразным таможенный орган, в регионе деятельности которого расположено место прибытия товаров на таможенную территорию таможенного союза и убытия с этой территории.</w:t>
      </w:r>
      <w:r>
        <w:br/>
      </w:r>
      <w:r>
        <w:rPr>
          <w:rFonts w:ascii="Times New Roman"/>
          <w:b w:val="false"/>
          <w:i w:val="false"/>
          <w:color w:val="000000"/>
          <w:sz w:val="28"/>
        </w:rPr>
        <w:t>
</w:t>
      </w:r>
      <w:r>
        <w:rPr>
          <w:rFonts w:ascii="Times New Roman"/>
          <w:b w:val="false"/>
          <w:i w:val="false"/>
          <w:color w:val="000000"/>
          <w:sz w:val="28"/>
        </w:rPr>
        <w:t>
      В информационной зоне должны быть оборудованы места для заполнения бланков пассажирской таможенной декларации с запасом чистых бланков и образцами ее заполнения.</w:t>
      </w:r>
      <w:r>
        <w:br/>
      </w:r>
      <w:r>
        <w:rPr>
          <w:rFonts w:ascii="Times New Roman"/>
          <w:b w:val="false"/>
          <w:i w:val="false"/>
          <w:color w:val="000000"/>
          <w:sz w:val="28"/>
        </w:rPr>
        <w:t>
</w:t>
      </w:r>
      <w:r>
        <w:rPr>
          <w:rFonts w:ascii="Times New Roman"/>
          <w:b w:val="false"/>
          <w:i w:val="false"/>
          <w:color w:val="000000"/>
          <w:sz w:val="28"/>
        </w:rPr>
        <w:t>
      9. Расположение «красного» и «зеленого» коридоров должно по возможности обеспечивать прямое движение потока физических лиц от информационной зоны или места выдачи багажа и до выхода из коридоров после совершения таможенных процедур. Расстояние между информационной зоной или местом выдачи багажа и входами в коридоры (зона накопления) должно позволить физическому лицу выбрать соответствующий коридор и войти в него, не испытывая затруднений.</w:t>
      </w:r>
      <w:r>
        <w:br/>
      </w:r>
      <w:r>
        <w:rPr>
          <w:rFonts w:ascii="Times New Roman"/>
          <w:b w:val="false"/>
          <w:i w:val="false"/>
          <w:color w:val="000000"/>
          <w:sz w:val="28"/>
        </w:rPr>
        <w:t>
</w:t>
      </w:r>
      <w:r>
        <w:rPr>
          <w:rFonts w:ascii="Times New Roman"/>
          <w:b w:val="false"/>
          <w:i w:val="false"/>
          <w:color w:val="000000"/>
          <w:sz w:val="28"/>
        </w:rPr>
        <w:t>
      10. При использовании системы двойного коридора должны быть исключены специальные проходы (проезды) для физических лиц (транспортных средств), пользующихся таможенными льготами в соответствии с международными договорами государств-членов таможенного союза, и в случаях, предусмотренных </w:t>
      </w:r>
      <w:r>
        <w:rPr>
          <w:rFonts w:ascii="Times New Roman"/>
          <w:b w:val="false"/>
          <w:i w:val="false"/>
          <w:color w:val="000000"/>
          <w:sz w:val="28"/>
        </w:rPr>
        <w:t>Таможенным кодексом таможенного союза</w:t>
      </w:r>
      <w:r>
        <w:rPr>
          <w:rFonts w:ascii="Times New Roman"/>
          <w:b w:val="false"/>
          <w:i w:val="false"/>
          <w:color w:val="000000"/>
          <w:sz w:val="28"/>
        </w:rPr>
        <w:t>. Такие физические лица (транспортные средства) могут проследовать как по «зеленому», так и по «красному» коридору в зависимости от того, какие товары они перемещают через таможенную границу таможенного союза.</w:t>
      </w:r>
      <w:r>
        <w:br/>
      </w:r>
      <w:r>
        <w:rPr>
          <w:rFonts w:ascii="Times New Roman"/>
          <w:b w:val="false"/>
          <w:i w:val="false"/>
          <w:color w:val="000000"/>
          <w:sz w:val="28"/>
        </w:rPr>
        <w:t>
</w:t>
      </w:r>
      <w:r>
        <w:rPr>
          <w:rFonts w:ascii="Times New Roman"/>
          <w:b w:val="false"/>
          <w:i w:val="false"/>
          <w:color w:val="000000"/>
          <w:sz w:val="28"/>
        </w:rPr>
        <w:t>
      11. Система двойного коридора может не применяться в залах официальных лиц и делегаций, организованных в местах прибытия товаров и местах убытия товаров.</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