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b50d" w14:textId="db2b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13 Единого перечня товаров, к которым применяются запреты 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41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здел 2.13 «Ядовитые вещества, не являющиеся прекурсорами наркотических средств и психотропных веществ, ограниченные к перемещению через таможенную границу таможенного союза при ввозе» Единого перечня товаров след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 наименовании раздела после слов «при ввозе» дополнить словами «и вывоз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раздел следующими пози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Графа «Наименование» - «49. Цианиды натрия**», графа «Код ЕТН ВЭД» - «из 2837 11 000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Графа «Наименование» - «50. Цианиды калия**», графа «Код ЕТН ВЭД» - «из 2837 19 000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Графа «Наименование» - «51. Цианиды меди», графа «Код ЕТН ВЭД» - «из 2837 19 000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примечание к разделу абзацем следующего содержания: «**Только при их ввозе и транзите по территории государств – участников таможенного союза в случае, если такие товары не контролируются системой экспортного контро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озиции 16 в графе «Код ЕТН ВЭД» исключить слово «и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озиции 24 графу «Наименование» изложить в следующей редакции «Ртути дийодид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