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fec6" w14:textId="63ef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сметы расходов Комиссии таможенного союза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работы над проектом сметы расходов Комиссии таможенного союза на 2011 год (далее – проект сметы).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Доработать проект сметы расходов с учетом официальных позиций Сторон, а также с учетом состоявшегося в ходе заседания обсуждения, и внести его на одобрение очередного заседания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информацию о ходе работы по подготовке технико-экономического обоснования создания в 2011 году Интегрированной информационной системы внешней и взаимной торговли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Секретариату Комиссии таможенного союза направить до 20 апреля 2010 года указанное в пункте 3 настоящего Решения технико-экономическое обоснование Сторонам на согласование.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Просить правительства Сторон до утверждения Комиссией таможенного союза сметы расходов на создание, функционирование и развитие Интегрированной информационной системы внешней и взаимной торговли Таможенного союза на 2011 год зарезервировать в национальных бюджетах ассигнования для финансового обеспечения работ по созданию указанной системы.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2010 года № 226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ходе работ по разработке технико-экономического обоснования</w:t>
      </w:r>
      <w:r>
        <w:br/>
      </w:r>
      <w:r>
        <w:rPr>
          <w:rFonts w:ascii="Times New Roman"/>
          <w:b/>
          <w:i w:val="false"/>
          <w:color w:val="000000"/>
        </w:rPr>
        <w:t>создания и функционирования интегрированной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внешней и взаимной торговли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создания Интегрированной информационной системы внешней и взаимной торговли таможенного союза одобрена Межгоссоветом ЕврАзЭС (высшим органом таможенного союза) на уровне глав государств от 27 ноября 2009 года № 22. Целью создания Системы являются обеспечение эффективного регулирования внешней и взаимной торговли на таможенной территории таможенного союза, осуществление таможенного, налогового, транспортного и других видов государственного контроля с использованием информационных телекоммуникационных технологий при перемещении товаров и транспортных средств через таможенную границу.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ИИС ВВТ должны учитываться следующие положения: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в настоящее время осуществляется формирование Таможенного союза и его нормативно правовая база должна и будет совершенствоваться;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возможно присоединение к Таможенному союзу новых государств-участников;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нагрузка на информационную инфраструктуру ИИС ВВТ будет возрастать по мере формирования нормативно-правовой базы и вступления в силу ряда международных договоров, касающихся формирования единой экономической территории;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уровень развития информационных технологий у участников Таможенного союза сильно различается;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перечень функций Комиссии таможенного союза может быть значительно расширен по сравнению с существующим состоянием;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взаимодействие автоматизированных систем таможенных органов участников Таможенного союза в настоящее время базируется, на двухсторонних или многосторонних договоренностях в рамках СНГ и в рамках ЕврАзЭС.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ИИС ВВТ должна создаваться в соответствии со следующими принципами: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централизованное управление таможенными процессами;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интеграция на основе архитектуры, ориентированной на сервисы и обмен сообщениями;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возможность подключения новых служб и компонентов, обеспечивающих реализацию новых процессов и функций, переданных КТС государствами членами ТС;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адаптивность к внесению изменений;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масштабируемость;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высокая доступность и отказоустойчивость.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высокой адаптивности к внесению изменений ИИС ВВТ должна представлять собой единую для всех участников таможенного союза информационно-технологическую платформу, к которой по мере необходимости подключаются программно-технические комплексы, обеспечивающие реализацию таможенных процессов и функций Комиссии.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экономический эффект от развития информационных технологий и внедрения ИИС ВВТ планируется достичь за счет упрощения и гармонизации таможенных процедур, создания условий для ускорения таможенного оформления и увеличения грузопотоков через пункты пропуска.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работы над ТЭО были определены основные показатели для оценки экономической эффективности.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Трудозатраты на создание ИИС ВВТ оцениваются в 8 569,41 человеко-месяцев. Время разработки ИИС ВВТ с учетом поэтапного запуска комплексов задач составляет 3 года. По выполненным расчетам стоимость работ по разработке и вводу в эксплуатацию ИИС ВВТ без учета стоимости сетевого и серверного оборудования и лицензий на общесистемное программное обеспечение составит порядка 2 809,26 тыс. росс. руб, из них на первую очередь в 2011 году – 917,85 тыс. росс. руб., на вторую очередь в 2012 году – 1 031,53 тыс. росс. руб., на третью очередь в 2013 году – 859,88 тыс. росс. руб.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