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6b4f" w14:textId="3616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Структуры Секретариата Комиссии таможенного союза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225.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Межгоссовета ЕврАзЭС (высшего органа таможенного союза) на уровне глав государств "О Структуре Секретариата Комиссии таможенного союза"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указанный в пункте 1 настоящего Решения проект документа для рассмотрения на очередном заседании Межгоссовета ЕврАзЭС (высшего органа таможенного союза) на уровне глав государств.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2010 года №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61"/>
        <w:gridCol w:w="420"/>
        <w:gridCol w:w="1019"/>
      </w:tblGrid>
      <w:tr>
        <w:trPr>
          <w:trHeight w:val="30" w:hRule="atLeast"/>
        </w:trPr>
        <w:tc>
          <w:tcPr>
            <w:tcW w:w="10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2010 г.</w:t>
            </w:r>
          </w:p>
        </w:tc>
        <w:tc>
          <w:tcPr>
            <w:tcW w:w="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Структуре</w:t>
      </w:r>
      <w:r>
        <w:br/>
      </w:r>
      <w:r>
        <w:rPr>
          <w:rFonts w:ascii="Times New Roman"/>
          <w:b/>
          <w:i w:val="false"/>
          <w:color w:val="000000"/>
        </w:rPr>
        <w:t>Секретариата Комиссии таможенного союза на 2011 год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государств решил: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Структуру Секретариата Комиссии таможенного союза на 2011 год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Межгоссовета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 (высшего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 2010 года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Секретариата Комиссии таможенного союза на 2011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98"/>
        <w:gridCol w:w="8302"/>
      </w:tblGrid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Секретариата Комиссии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чел.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чел.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чел.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Секретариата Комиссии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ответственного секретаря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Структурные подразделения Секретариата Комиссии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Департамент торговой политики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Департамент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Департамент таможенного администрирования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Департамент политики в сфере технического 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 ветеринарных и фитосанитарных мер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Департамент финансовой политики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Центр таможенной статистики (Департамент статистики)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Административный департамент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Правовой департамент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Департамент по защитным мерам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Месторасположение - г. Москва (Российская Федерация)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