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bd0c" w14:textId="febb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Группы уполномоченных представителей государств-членов таможенного союза по подготовке проектов международных соглашений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и освободных складах и таможенной процедуре свободного склада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215.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Группы уполномоченных представителей государств–членов таможенного союза (далее – Группа)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Группе до 5 мая 2010 года доработать и внести на очередное заседание Комиссии таможенного союза согласованные проекты международных соглашений: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свободных складах и таможенной процедуре свободного склада;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особенностях перемещения товаров и транспортных средств с территории Калининградской области Российской Федерации на остальную часть таможенной территории таможенного союза, а также с остальной части таможенной территории таможенного союза на территорию Калининградской области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2010 года № 215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Группы уполномоченных представителей государств–членов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по подготовке проектов международных</w:t>
      </w:r>
      <w:r>
        <w:br/>
      </w:r>
      <w:r>
        <w:rPr>
          <w:rFonts w:ascii="Times New Roman"/>
          <w:b/>
          <w:i w:val="false"/>
          <w:color w:val="000000"/>
        </w:rPr>
        <w:t>соглашений по вопросам свободных (специальных, особых)</w:t>
      </w:r>
      <w:r>
        <w:br/>
      </w:r>
      <w:r>
        <w:rPr>
          <w:rFonts w:ascii="Times New Roman"/>
          <w:b/>
          <w:i w:val="false"/>
          <w:color w:val="000000"/>
        </w:rPr>
        <w:t>экономических зон на таможенной территории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таможенной процедуры свободной таможенной зоны и о свободных</w:t>
      </w:r>
      <w:r>
        <w:br/>
      </w:r>
      <w:r>
        <w:rPr>
          <w:rFonts w:ascii="Times New Roman"/>
          <w:b/>
          <w:i w:val="false"/>
          <w:color w:val="000000"/>
        </w:rPr>
        <w:t>складах и таможенной процедуре свободного склада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35"/>
        <w:gridCol w:w="906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Жабко Петр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Константинович</w:t>
            </w:r>
          </w:p>
        </w:tc>
        <w:tc>
          <w:tcPr>
            <w:tcW w:w="9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</w:tc>
        <w:tc>
          <w:tcPr>
            <w:tcW w:w="9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таможенного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Тимур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Муратович</w:t>
            </w:r>
          </w:p>
        </w:tc>
        <w:tc>
          <w:tcPr>
            <w:tcW w:w="9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экономики и развития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Руслан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Ерболатович</w:t>
            </w:r>
          </w:p>
        </w:tc>
        <w:tc>
          <w:tcPr>
            <w:tcW w:w="9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Тимур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Мекешевич</w:t>
            </w:r>
          </w:p>
        </w:tc>
        <w:tc>
          <w:tcPr>
            <w:tcW w:w="9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инвестициям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новых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 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9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