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258a" w14:textId="f2b2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хождении внутригосударственного согласования проектов Соглашения о создании, функционировании и развитии Интегрированной информационной системы внешней и взаимной торговли таможенного союза и Соглашения о применении информационных технологий при обмене электронными документами во внешней и взаимной торговле на единой таможенной территории таможенного союза в рамках Евразийского экономического со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февраля 2010 года № 187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в основном проекты Соглашения о создании, функционировании и развитии Интегрированной информационной системы внешней и взаимной торговли таможенного союза (приложение № 1) и Соглашения о применении информационных технологий при обмене электронными документами во внешней и взаимной торговле на единой таможенной территории таможенного союза в рамках Евразийского экономического сообщества (приложение № 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российскую Сторону провести в срок до 22 марта 2010 года внутригосударственное согласование проектов соглашений, указанных в пункте 1 настоящего Решения, и их окончательный текст направить на рассмотрение белорусской и казахстанской Сторонам до завершения внутригосударственных процедур в Российской Федер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ь Стороны в срок до 22 апреля 2010 года провести внутригосударственные процедуры, необходимые для подписания проектов соглашений, указанных в пункте 1 настоящего Решения, с учетом результатов внутригосударственного согласования белорусской и казахстанской Сторонам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