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d0e2" w14:textId="f8dd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тарифных льгот по уплате ввозных таможенных пошлин хозяйствующим субъектам, осуществляющим производство моторных транспортных средств</w:t>
      </w:r>
    </w:p>
    <w:p>
      <w:pPr>
        <w:spacing w:after="0"/>
        <w:ind w:left="0"/>
        <w:jc w:val="both"/>
      </w:pPr>
      <w:r>
        <w:rPr>
          <w:rFonts w:ascii="Times New Roman"/>
          <w:b w:val="false"/>
          <w:i w:val="false"/>
          <w:color w:val="000000"/>
          <w:sz w:val="28"/>
        </w:rPr>
        <w:t>Решение Комиссии таможенного союза от 27 января 2010 года № 169</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Утвердить </w:t>
      </w:r>
      <w:r>
        <w:rPr>
          <w:rFonts w:ascii="Times New Roman"/>
          <w:b w:val="false"/>
          <w:i w:val="false"/>
          <w:color w:val="000000"/>
          <w:sz w:val="28"/>
        </w:rPr>
        <w:t>Перечень</w:t>
      </w:r>
      <w:r>
        <w:rPr>
          <w:rFonts w:ascii="Times New Roman"/>
          <w:b w:val="false"/>
          <w:i w:val="false"/>
          <w:color w:val="000000"/>
          <w:sz w:val="28"/>
        </w:rPr>
        <w:t xml:space="preserve"> хозяйствующих субъектов, осуществляющих производство моторных транспортных средств с применением понятия «промышленная сборка» (код ТН ВЭД ТС 8703), соответствующих критериям, указанным в пункте 7.1.1. Решения Комиссии таможенного союза от 27 ноября 2009 г. № 130 (прилагается).</w:t>
      </w:r>
      <w:r>
        <w:br/>
      </w:r>
      <w:r>
        <w:rPr>
          <w:rFonts w:ascii="Times New Roman"/>
          <w:b w:val="false"/>
          <w:i w:val="false"/>
          <w:color w:val="000000"/>
          <w:sz w:val="28"/>
        </w:rPr>
        <w:t>
</w:t>
      </w:r>
      <w:r>
        <w:rPr>
          <w:rFonts w:ascii="Times New Roman"/>
          <w:b w:val="false"/>
          <w:i w:val="false"/>
          <w:color w:val="000000"/>
          <w:sz w:val="28"/>
        </w:rPr>
        <w:t>
      2. Установить, что тарифная льгота, предусмотренная пунктом 7.1.1. Решения Комиссии таможенного союза от 27 ноября 2009 г. № 130, предоставляется на основании документа, подтверждающего, что моторное транспортное средство произведено хозяйствующим субъектом, включенным в Перечень, указанный в пункте 1 настоящего Решения. </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Решением Комиссии таможенного союза</w:t>
      </w:r>
      <w:r>
        <w:br/>
      </w:r>
      <w:r>
        <w:rPr>
          <w:rFonts w:ascii="Times New Roman"/>
          <w:b w:val="false"/>
          <w:i w:val="false"/>
          <w:color w:val="000000"/>
          <w:sz w:val="28"/>
        </w:rPr>
        <w:t xml:space="preserve">
от 27 января 2010 г. № 169    </w:t>
      </w:r>
    </w:p>
    <w:bookmarkStart w:name="z3" w:id="1"/>
    <w:p>
      <w:pPr>
        <w:spacing w:after="0"/>
        <w:ind w:left="0"/>
        <w:jc w:val="left"/>
      </w:pPr>
      <w:r>
        <w:rPr>
          <w:rFonts w:ascii="Times New Roman"/>
          <w:b/>
          <w:i w:val="false"/>
          <w:color w:val="000000"/>
        </w:rPr>
        <w:t xml:space="preserve"> 
ПЕРЕЧЕНЬ</w:t>
      </w:r>
      <w:r>
        <w:br/>
      </w:r>
      <w:r>
        <w:rPr>
          <w:rFonts w:ascii="Times New Roman"/>
          <w:b/>
          <w:i w:val="false"/>
          <w:color w:val="000000"/>
        </w:rPr>
        <w:t>
хозяйствующих субъектов, осуществляющих </w:t>
      </w:r>
      <w:r>
        <w:br/>
      </w:r>
      <w:r>
        <w:rPr>
          <w:rFonts w:ascii="Times New Roman"/>
          <w:b/>
          <w:i w:val="false"/>
          <w:color w:val="000000"/>
        </w:rPr>
        <w:t>
в 2010 году производство моторных транспортных средств </w:t>
      </w:r>
      <w:r>
        <w:br/>
      </w:r>
      <w:r>
        <w:rPr>
          <w:rFonts w:ascii="Times New Roman"/>
          <w:b/>
          <w:i w:val="false"/>
          <w:color w:val="000000"/>
        </w:rPr>
        <w:t>
с применением понятия «промышленная сборка» в соответствии </w:t>
      </w:r>
      <w:r>
        <w:br/>
      </w:r>
      <w:r>
        <w:rPr>
          <w:rFonts w:ascii="Times New Roman"/>
          <w:b/>
          <w:i w:val="false"/>
          <w:color w:val="000000"/>
        </w:rPr>
        <w:t>
с критериями, указанными в пункте 7.1.1 Решения Комиссии таможенного союза от 27 ноября 2009 г. № 130 </w:t>
      </w:r>
    </w:p>
    <w:bookmarkEnd w:id="1"/>
    <w:p>
      <w:pPr>
        <w:spacing w:after="0"/>
        <w:ind w:left="0"/>
        <w:jc w:val="left"/>
      </w:pPr>
      <w:r>
        <w:rPr>
          <w:rFonts w:ascii="Times New Roman"/>
          <w:b/>
          <w:i w:val="false"/>
          <w:color w:val="000000"/>
        </w:rPr>
        <w:t xml:space="preserve"> Республика Беларусь СП ЗАО «ЮНИСОН», поселок Обчак, Минская область  Республика Казахстан АО «Азия Авто» (автосборочный завод), г. Усть-Каменогорск, ул. Бажова, 101/1 Российская Федерация  ОАО «ИжАвто», г. Ижевск, Республика Удмуртия ОАО «СОЛЛЕРС-Набережные Челны», г. Набережные Челны, Республика Татарстан ОАО «Автофрамос», г. Москва ООО «Автомобильный завод «ГАЗ», г. Нижний Новгород ОАО «Джи Эм – АВТОВАЗ», г. Тольятти ООО «Фольксваген Груп Рус», г. Калуга ООО «Дженерал Моторз Авто», г. Санкт-Петербург ООО «Ниссан Мотор Рус», пос. Каменка Ленинградской области ООО «Северстальавто-ЕЛАБУГА», г. Елабуга, Республика Татарстан ООО «Тойота Мотор Мануфэкчуринг Россия», пос. Шушары Ленинградской области ООО «Объединенные транспортные технологии», Нижегородская область ЗАО «Форд Мотор Компании», г. Всеволжск, Ленинградская область ОАО «АвтоВАЗ», г. Тольятти, Самарская область ОАО «Ульяновский автомобильный завод» (УАЗ), г. Ульяновск ООО «МАКСУС», Нижегородская область ООО «Хендэ Мотор СНГ», Ленинградская область «Северстальавто-КАМА», г. Елабуга, Республика Татарстан ЗАО «Группа Химэкс», Саратовская область ООО «СОЛЛЕРС – Дальний Восток», Приморский край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