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1ac6" w14:textId="fda1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ханизме зачисления и распределения сумм таможенных пошлин, иных пошлин, налогов и сборов, имеющих эквивалентное действ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января 2010 года № 16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в целях выполнения пункта 7.1 Плана действий по формированию таможенного союза в рамках Евразийского экономического сообщества в редакции Решения Межгосударственного Совета ЕврАзЭС (высшего органа таможенного союза) на уровне глав государств от 27 ноября 2009 года № 14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татс-секретаря – Заместителя Министра финансов Российской Федерации С.Д.Шаталова о разработке проекта Cоглашения об установлении и применении в таможенном союзе порядка зачисления и распределения ввозных таможенных пошлин, иных пошлин, налогов и сборов, имеющих эквивалентное действие (далее – проект Соглаше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ам финансов сторон в срок до 5 февраля 2010 г. завершить работу по согласованию принципов расчета норматива распределения сумм ввозных таможенных пошли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й группе по направлению "Выработка механизма зачисления и распределения сумм таможенных пошлин, иных пошлин, налогов и сборов, имеющих эквивалентное действие" (далее – экспертная группа) в срок до 8 февраля 2010 года провести заседание экспертной группы в целях окончательного согласования текста проекта Соглашения с учетом предложений Сторон о том, чт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числение и распределение ввозных таможенных пошлин осуществляется с бюджетного счета государства – члена таможенного союза в центральных (национальных) банках Сторон; белорусская Сторона к 01.07.2010г. открывает в Национальном банке Республики Беларусь единый бюджетный счет для ввозных таможенных пош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вертация национальных валют осуществляется центральными (национальными) банками Сторон по официальному курсу национальной валюты государства?члена таможенного союза к доллару США на дату проведения конверсионной операци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экспертной группы И.В.Трунину в срок до 15 февраля 2010 года представить в Секретариат Комиссии таможенного союза (далее – Секретариат, Комиссия) проект Соглашения в целях внесения его для рассмотрения на 14-ом заседании Комиссии с целью одобрения и последующего направления Сторонам для проведения внутригосударственных процедур, необходимых для его подпис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ой группе по институциональным вопросам проработать предложения российской Стороны о создании наднациональных институтов регулирования в области распределения сумм таможенных пошлин, иных пошлин, налогов и сборов, имеющих эквивалентное действие, а также наднациональных институтов таможенного регулир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