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9efa" w14:textId="d509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международных договорах в сфере применения специальных защитных, антидемпинговых и компенсационных мер в Таможенном союзе в рамках ЕврАзЭС</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19 ноября 2010 года № 59</w:t>
      </w:r>
    </w:p>
    <w:p>
      <w:pPr>
        <w:spacing w:after="0"/>
        <w:ind w:left="0"/>
        <w:jc w:val="both"/>
      </w:pPr>
      <w:bookmarkStart w:name="z1" w:id="0"/>
      <w:r>
        <w:rPr>
          <w:rFonts w:ascii="Times New Roman"/>
          <w:b w:val="false"/>
          <w:i w:val="false"/>
          <w:color w:val="000000"/>
          <w:sz w:val="28"/>
        </w:rPr>
        <w:t xml:space="preserve">
      Межгосударственный Совет ЕврАзЭС (Высший орган Таможенного союза) на уровне глав правительств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Соглашение</w:t>
      </w:r>
      <w:r>
        <w:rPr>
          <w:rFonts w:ascii="Times New Roman"/>
          <w:b w:val="false"/>
          <w:i w:val="false"/>
          <w:color w:val="000000"/>
          <w:sz w:val="28"/>
        </w:rPr>
        <w:t xml:space="preserve"> о порядке применения специальных защитных, антидемпинговых и компенсационных мер в течение переходного периода (Приложение № 1).</w:t>
      </w:r>
      <w:r>
        <w:br/>
      </w:r>
      <w:r>
        <w:rPr>
          <w:rFonts w:ascii="Times New Roman"/>
          <w:b w:val="false"/>
          <w:i w:val="false"/>
          <w:color w:val="000000"/>
          <w:sz w:val="28"/>
        </w:rPr>
        <w:t>
</w:t>
      </w:r>
      <w:r>
        <w:rPr>
          <w:rFonts w:ascii="Times New Roman"/>
          <w:b w:val="false"/>
          <w:i w:val="false"/>
          <w:color w:val="000000"/>
          <w:sz w:val="28"/>
        </w:rPr>
        <w:t>
      2. Принять </w:t>
      </w:r>
      <w:r>
        <w:rPr>
          <w:rFonts w:ascii="Times New Roman"/>
          <w:b w:val="false"/>
          <w:i w:val="false"/>
          <w:color w:val="000000"/>
          <w:sz w:val="28"/>
        </w:rPr>
        <w:t>Протокол</w:t>
      </w:r>
      <w:r>
        <w:rPr>
          <w:rFonts w:ascii="Times New Roman"/>
          <w:b w:val="false"/>
          <w:i w:val="false"/>
          <w:color w:val="000000"/>
          <w:sz w:val="28"/>
        </w:rPr>
        <w:t xml:space="preserve">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(Приложение № 2).</w:t>
      </w:r>
      <w:r>
        <w:br/>
      </w:r>
      <w:r>
        <w:rPr>
          <w:rFonts w:ascii="Times New Roman"/>
          <w:b w:val="false"/>
          <w:i w:val="false"/>
          <w:color w:val="000000"/>
          <w:sz w:val="28"/>
        </w:rPr>
        <w:t>
</w:t>
      </w:r>
      <w:r>
        <w:rPr>
          <w:rFonts w:ascii="Times New Roman"/>
          <w:b w:val="false"/>
          <w:i w:val="false"/>
          <w:color w:val="000000"/>
          <w:sz w:val="28"/>
        </w:rPr>
        <w:t>
      3. Правительствам государств–членов Таможенного союза обеспечить проведение внутригосударственных процедур, необходимых для вступления в силу международных договоров, указанных в пунктах 1 и 2 настоящего Решения.</w:t>
      </w:r>
      <w:r>
        <w:br/>
      </w:r>
      <w:r>
        <w:rPr>
          <w:rFonts w:ascii="Times New Roman"/>
          <w:b w:val="false"/>
          <w:i w:val="false"/>
          <w:color w:val="000000"/>
          <w:sz w:val="28"/>
        </w:rPr>
        <w:t>
</w:t>
      </w:r>
      <w:r>
        <w:rPr>
          <w:rFonts w:ascii="Times New Roman"/>
          <w:b w:val="false"/>
          <w:i w:val="false"/>
          <w:color w:val="000000"/>
          <w:sz w:val="28"/>
        </w:rPr>
        <w:t>
      4. Правительствам государств–членов Таможенного союза приступить к работе по пересмотрам специальных защитных, антидемпинговых и компенсационных мер в соответствии с положениями Соглашения,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5. В случае если по результатам пересмотров специальных защитных, антидемпинговых и компенсационных мер с целью их распространения на единую таможенную территорию Таможенного союза третьими странами будут приниматься меры, создающие неблагоприятные торгово – политические последствия для одного или нескольких государств – членов Таможенного союза, Комиссии Таможенного союза оперативно рассматривать такие вопросы с целью выработки  в отношении таких третьих стран скоординированных мер.</w:t>
      </w:r>
      <w:r>
        <w:br/>
      </w:r>
      <w:r>
        <w:rPr>
          <w:rFonts w:ascii="Times New Roman"/>
          <w:b w:val="false"/>
          <w:i w:val="false"/>
          <w:color w:val="000000"/>
          <w:sz w:val="28"/>
        </w:rPr>
        <w:t>
</w:t>
      </w:r>
      <w:r>
        <w:rPr>
          <w:rFonts w:ascii="Times New Roman"/>
          <w:b w:val="false"/>
          <w:i w:val="false"/>
          <w:color w:val="000000"/>
          <w:sz w:val="28"/>
        </w:rPr>
        <w:t>
      При необходимости Комиссии Таможенного союза оперативно вносить соответствующие предложения для рассмотрения на заседании Межгосударственного Совета ЕврАзЭС (Высшего органа Таможенного союза).</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993"/>
        <w:gridCol w:w="371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применения специальных защитных, антидемпинговых и</w:t>
      </w:r>
      <w:r>
        <w:br/>
      </w:r>
      <w:r>
        <w:rPr>
          <w:rFonts w:ascii="Times New Roman"/>
          <w:b/>
          <w:i w:val="false"/>
          <w:color w:val="000000"/>
        </w:rPr>
        <w:t>
компенсационных мер в течение переходного периода</w:t>
      </w:r>
    </w:p>
    <w:bookmarkEnd w:id="1"/>
    <w:bookmarkStart w:name="z5" w:id="2"/>
    <w:p>
      <w:pPr>
        <w:spacing w:after="0"/>
        <w:ind w:left="0"/>
        <w:jc w:val="both"/>
      </w:pPr>
      <w:r>
        <w:rPr>
          <w:rFonts w:ascii="Times New Roman"/>
          <w:b w:val="false"/>
          <w:i w:val="false"/>
          <w:color w:val="000000"/>
          <w:sz w:val="28"/>
        </w:rPr>
        <w:t>
      Правительства государств–членов Таможенного союза в рамках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согласованного применения специальных защитных, антидемпинговых и компенсационных мер в торговле с третьими странами и определения порядка зачисления и распределения специальных, антидемпинговых и компенсационных пошлин,</w:t>
      </w:r>
      <w:r>
        <w:br/>
      </w:r>
      <w:r>
        <w:rPr>
          <w:rFonts w:ascii="Times New Roman"/>
          <w:b w:val="false"/>
          <w:i w:val="false"/>
          <w:color w:val="000000"/>
          <w:sz w:val="28"/>
        </w:rPr>
        <w:t>
</w:t>
      </w:r>
      <w:r>
        <w:rPr>
          <w:rFonts w:ascii="Times New Roman"/>
          <w:b w:val="false"/>
          <w:i w:val="false"/>
          <w:color w:val="000000"/>
          <w:sz w:val="28"/>
        </w:rPr>
        <w:t>
      желая обеспечить защиту национального производства, создание условий, способствующих развитию конкуренции между национальными и зарубежными товаропроизводителями, а также повышению конкурентоспособности национальной продукции,</w:t>
      </w:r>
      <w:r>
        <w:br/>
      </w:r>
      <w:r>
        <w:rPr>
          <w:rFonts w:ascii="Times New Roman"/>
          <w:b w:val="false"/>
          <w:i w:val="false"/>
          <w:color w:val="000000"/>
          <w:sz w:val="28"/>
        </w:rPr>
        <w:t>
</w:t>
      </w:r>
      <w:r>
        <w:rPr>
          <w:rFonts w:ascii="Times New Roman"/>
          <w:b w:val="false"/>
          <w:i w:val="false"/>
          <w:color w:val="000000"/>
          <w:sz w:val="28"/>
        </w:rPr>
        <w:t>
      руководствуясь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иными документами, формирующими договорно-правовую базу Таможенного союза, а также общепринятыми нормами 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Специальные защитные, антидемпинговые и компенсационные меры, применяемые в соответствии с законодательством государств – членов Таможенного союза в отношении импорта товаров из третьих стран на территории государств – членов Таможенного союза, подлежат пересмотру на предмет установления доли производства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для которых был установлен ущерб либо угроза ущерба, в общем объеме производства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Объемы производства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определяются как объемы товара, произведенного за три календарных года, непосредственно предшествующих дате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Такой пересмотр проводится уполномоченными органами государств – членов Таможенного союза, на территории которых была введена соответствующая мера, с одновременным уведомлением всех заинтересованных лиц.</w:t>
      </w:r>
      <w:r>
        <w:br/>
      </w:r>
      <w:r>
        <w:rPr>
          <w:rFonts w:ascii="Times New Roman"/>
          <w:b w:val="false"/>
          <w:i w:val="false"/>
          <w:color w:val="000000"/>
          <w:sz w:val="28"/>
        </w:rPr>
        <w:t>
</w:t>
      </w:r>
      <w:r>
        <w:rPr>
          <w:rFonts w:ascii="Times New Roman"/>
          <w:b w:val="false"/>
          <w:i w:val="false"/>
          <w:color w:val="000000"/>
          <w:sz w:val="28"/>
        </w:rPr>
        <w:t>
      Для целей настоящего Соглашения под уполномоченными органами государств – членов Таможенного союза понимаются национальные органы, ответственные за проведение расследований, предшествующих введению специальных защитных, антидемпинговых и компенсационных мер, в соответствии с законодательством государств – членов Таможенного союза.</w:t>
      </w:r>
    </w:p>
    <w:bookmarkEnd w:id="4"/>
    <w:bookmarkStart w:name="z8" w:id="5"/>
    <w:p>
      <w:pPr>
        <w:spacing w:after="0"/>
        <w:ind w:left="0"/>
        <w:jc w:val="left"/>
      </w:pPr>
      <w:r>
        <w:rPr>
          <w:rFonts w:ascii="Times New Roman"/>
          <w:b/>
          <w:i w:val="false"/>
          <w:color w:val="000000"/>
        </w:rPr>
        <w:t xml:space="preserve"> 
Статья 2</w:t>
      </w:r>
    </w:p>
    <w:bookmarkEnd w:id="5"/>
    <w:bookmarkStart w:name="z9" w:id="6"/>
    <w:p>
      <w:pPr>
        <w:spacing w:after="0"/>
        <w:ind w:left="0"/>
        <w:jc w:val="both"/>
      </w:pPr>
      <w:r>
        <w:rPr>
          <w:rFonts w:ascii="Times New Roman"/>
          <w:b w:val="false"/>
          <w:i w:val="false"/>
          <w:color w:val="000000"/>
          <w:sz w:val="28"/>
        </w:rPr>
        <w:t>
      В случае если по результатам указанного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пересмотра специальной защитной, антидемпинговой или компенсационной меры, применяемой в отношении импорта товаров из третьих стран на территорию государства – 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существенная часть, но не менее 25 процентов от общего объема производства государств – членов Таможенного союза, то такая мера применяется в отношении импорта товара из третьих стран на единую таможенную территорию Таможенного союза на основе соответствующего решения Комиссии Таможенного союза до окончания срока действия меры, установленного Стороной, принявшей такую меру.</w:t>
      </w:r>
      <w:r>
        <w:br/>
      </w:r>
      <w:r>
        <w:rPr>
          <w:rFonts w:ascii="Times New Roman"/>
          <w:b w:val="false"/>
          <w:i w:val="false"/>
          <w:color w:val="000000"/>
          <w:sz w:val="28"/>
        </w:rPr>
        <w:t>
</w:t>
      </w:r>
      <w:r>
        <w:rPr>
          <w:rFonts w:ascii="Times New Roman"/>
          <w:b w:val="false"/>
          <w:i w:val="false"/>
          <w:color w:val="000000"/>
          <w:sz w:val="28"/>
        </w:rPr>
        <w:t>
      С даты вступления в силу решения Комиссии Таможенного союза о введении специальной защитной, антидемпинговой или компенсационной меры на единой таможенной территории Таможенного союза по результатам пересмотра в отношении такой меры по инициативе компетентного органа или заявлению заинтересованного лица может быть проведено повторное расследование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В отношении повторных расследований, указанных в абзаце втором настоящей статьи, не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17 и  </w:t>
      </w:r>
      <w:r>
        <w:rPr>
          <w:rFonts w:ascii="Times New Roman"/>
          <w:b w:val="false"/>
          <w:i w:val="false"/>
          <w:color w:val="000000"/>
          <w:sz w:val="28"/>
        </w:rPr>
        <w:t>пункта 4</w:t>
      </w:r>
      <w:r>
        <w:rPr>
          <w:rFonts w:ascii="Times New Roman"/>
          <w:b w:val="false"/>
          <w:i w:val="false"/>
          <w:color w:val="000000"/>
          <w:sz w:val="28"/>
        </w:rPr>
        <w:t xml:space="preserve"> статьи 27 Соглашения о применении специальных защитных, антидемпинговых и компенсационных мер по отношению к третьим странам от 25 января 2008 года, определяющие минимальный срок, по прошествии которого может быть начато повторное антидемпинговое или компенсационное расследование.</w:t>
      </w:r>
      <w:r>
        <w:br/>
      </w:r>
      <w:r>
        <w:rPr>
          <w:rFonts w:ascii="Times New Roman"/>
          <w:b w:val="false"/>
          <w:i w:val="false"/>
          <w:color w:val="000000"/>
          <w:sz w:val="28"/>
        </w:rPr>
        <w:t>
</w:t>
      </w:r>
      <w:r>
        <w:rPr>
          <w:rFonts w:ascii="Times New Roman"/>
          <w:b w:val="false"/>
          <w:i w:val="false"/>
          <w:color w:val="000000"/>
          <w:sz w:val="28"/>
        </w:rPr>
        <w:t>
      Проведение повторного специального защитного, антидемпингового или компенсационного расследования в отношении меры, введенной на единой таможенной территории Таможенного союза по результатам пересмотра, осуществляется уполномоченным органом государства – члена Таможенного союза, проводившим пересмотр соответствующей национальной меры.</w:t>
      </w:r>
    </w:p>
    <w:bookmarkEnd w:id="6"/>
    <w:bookmarkStart w:name="z10" w:id="7"/>
    <w:p>
      <w:pPr>
        <w:spacing w:after="0"/>
        <w:ind w:left="0"/>
        <w:jc w:val="left"/>
      </w:pPr>
      <w:r>
        <w:rPr>
          <w:rFonts w:ascii="Times New Roman"/>
          <w:b/>
          <w:i w:val="false"/>
          <w:color w:val="000000"/>
        </w:rPr>
        <w:t xml:space="preserve"> 
Статья 3</w:t>
      </w:r>
    </w:p>
    <w:bookmarkEnd w:id="7"/>
    <w:bookmarkStart w:name="z11" w:id="8"/>
    <w:p>
      <w:pPr>
        <w:spacing w:after="0"/>
        <w:ind w:left="0"/>
        <w:jc w:val="both"/>
      </w:pPr>
      <w:r>
        <w:rPr>
          <w:rFonts w:ascii="Times New Roman"/>
          <w:b w:val="false"/>
          <w:i w:val="false"/>
          <w:color w:val="000000"/>
          <w:sz w:val="28"/>
        </w:rPr>
        <w:t>
      Уполномоченный орган государства – члена Таможенного союза, проводящий указанный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пересмотр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представляет на рассмотрение другим уполномоченным органам государств – членов Таможенного союза результаты такого пересмотра.</w:t>
      </w:r>
      <w:r>
        <w:br/>
      </w:r>
      <w:r>
        <w:rPr>
          <w:rFonts w:ascii="Times New Roman"/>
          <w:b w:val="false"/>
          <w:i w:val="false"/>
          <w:color w:val="000000"/>
          <w:sz w:val="28"/>
        </w:rPr>
        <w:t>
</w:t>
      </w:r>
      <w:r>
        <w:rPr>
          <w:rFonts w:ascii="Times New Roman"/>
          <w:b w:val="false"/>
          <w:i w:val="false"/>
          <w:color w:val="000000"/>
          <w:sz w:val="28"/>
        </w:rPr>
        <w:t>
      Уполномоченный орган государства – члена Таможенного союза при проведении пересмотра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обеспечивает его публичность и транспарентность и предоставляет возможность заинтересованным лицам предоставить свои комментарии по данному вопросу в соответствии с законодательством государства – члена Таможенного союза, уполномоченный орган которого проводит данный пересмотр.</w:t>
      </w:r>
    </w:p>
    <w:bookmarkEnd w:id="8"/>
    <w:bookmarkStart w:name="z12" w:id="9"/>
    <w:p>
      <w:pPr>
        <w:spacing w:after="0"/>
        <w:ind w:left="0"/>
        <w:jc w:val="left"/>
      </w:pPr>
      <w:r>
        <w:rPr>
          <w:rFonts w:ascii="Times New Roman"/>
          <w:b/>
          <w:i w:val="false"/>
          <w:color w:val="000000"/>
        </w:rPr>
        <w:t xml:space="preserve"> 
Статья 4</w:t>
      </w:r>
    </w:p>
    <w:bookmarkEnd w:id="9"/>
    <w:bookmarkStart w:name="z13" w:id="10"/>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 компенсационной меры на единой таможенной территории Таможенного союза соответствующая национальная мера прекращает свое действие.</w:t>
      </w:r>
    </w:p>
    <w:bookmarkEnd w:id="10"/>
    <w:bookmarkStart w:name="z14" w:id="11"/>
    <w:p>
      <w:pPr>
        <w:spacing w:after="0"/>
        <w:ind w:left="0"/>
        <w:jc w:val="left"/>
      </w:pPr>
      <w:r>
        <w:rPr>
          <w:rFonts w:ascii="Times New Roman"/>
          <w:b/>
          <w:i w:val="false"/>
          <w:color w:val="000000"/>
        </w:rPr>
        <w:t xml:space="preserve"> 
Статья 5</w:t>
      </w:r>
    </w:p>
    <w:bookmarkEnd w:id="11"/>
    <w:bookmarkStart w:name="z15" w:id="12"/>
    <w:p>
      <w:pPr>
        <w:spacing w:after="0"/>
        <w:ind w:left="0"/>
        <w:jc w:val="both"/>
      </w:pPr>
      <w:r>
        <w:rPr>
          <w:rFonts w:ascii="Times New Roman"/>
          <w:b w:val="false"/>
          <w:i w:val="false"/>
          <w:color w:val="000000"/>
          <w:sz w:val="28"/>
        </w:rPr>
        <w:t>
      В случае если по результатам указанного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пересмотра специальной защитной, антидемпинговой или компенсационной меры в отношении импорта товаров из третьих стран на территорию государства – 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менее 25 процентов от общего объема производства государств – членов Таможенного союза, то такая мера может действовать до окончания срока ее действия в соответствии с законодательством соответствующего государства – члена Таможенного союза без продления.</w:t>
      </w:r>
    </w:p>
    <w:bookmarkEnd w:id="12"/>
    <w:bookmarkStart w:name="z16" w:id="13"/>
    <w:p>
      <w:pPr>
        <w:spacing w:after="0"/>
        <w:ind w:left="0"/>
        <w:jc w:val="left"/>
      </w:pPr>
      <w:r>
        <w:rPr>
          <w:rFonts w:ascii="Times New Roman"/>
          <w:b/>
          <w:i w:val="false"/>
          <w:color w:val="000000"/>
        </w:rPr>
        <w:t xml:space="preserve"> 
Статья 6</w:t>
      </w:r>
    </w:p>
    <w:bookmarkEnd w:id="13"/>
    <w:bookmarkStart w:name="z17" w:id="14"/>
    <w:p>
      <w:pPr>
        <w:spacing w:after="0"/>
        <w:ind w:left="0"/>
        <w:jc w:val="both"/>
      </w:pPr>
      <w:r>
        <w:rPr>
          <w:rFonts w:ascii="Times New Roman"/>
          <w:b w:val="false"/>
          <w:i w:val="false"/>
          <w:color w:val="000000"/>
          <w:sz w:val="28"/>
        </w:rPr>
        <w:t>
      Специальные защитные, антидемпинговые и компенсационные меры по результатам расследований, завершенных до даты подписания настоящего Соглашения, вводятся в соответствии с законодательством государств – членов Таможенного союза и подлежат пересмотру в соответствии с положениями статей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Расследования, не завершенные Сторонами до даты подписания настоящего Соглашения, завершаются уполномоченными органами государств – членов Таможенного союза в соответствии с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Уполномоченный орган государства – члена Таможенного союза, проводящий расследование, осуществляет установление доли производителей государств – членов Таможенного союза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поддержавших заявление, в общем объеме производства государств – членов Таможенного союза. Расследование продолжается, если в результате установлено, что на долю таких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не менее 25 процентов в общем объеме производства государств – членов Таможенного союза.</w:t>
      </w:r>
    </w:p>
    <w:bookmarkEnd w:id="14"/>
    <w:bookmarkStart w:name="z18" w:id="15"/>
    <w:p>
      <w:pPr>
        <w:spacing w:after="0"/>
        <w:ind w:left="0"/>
        <w:jc w:val="left"/>
      </w:pPr>
      <w:r>
        <w:rPr>
          <w:rFonts w:ascii="Times New Roman"/>
          <w:b/>
          <w:i w:val="false"/>
          <w:color w:val="000000"/>
        </w:rPr>
        <w:t xml:space="preserve"> 
Статья 7</w:t>
      </w:r>
    </w:p>
    <w:bookmarkEnd w:id="15"/>
    <w:bookmarkStart w:name="z19" w:id="16"/>
    <w:p>
      <w:pPr>
        <w:spacing w:after="0"/>
        <w:ind w:left="0"/>
        <w:jc w:val="both"/>
      </w:pPr>
      <w:r>
        <w:rPr>
          <w:rFonts w:ascii="Times New Roman"/>
          <w:b w:val="false"/>
          <w:i w:val="false"/>
          <w:color w:val="000000"/>
          <w:sz w:val="28"/>
        </w:rPr>
        <w:t>
      В ходе проведения пересмотра в соответствии с положениями статей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настоящего Соглашения и (или) после введения специальных защитных, антидемпинговых и компенсационных мер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Сторонами проводятся консультации с национальными потребителями и производителями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w:t>
      </w:r>
      <w:r>
        <w:br/>
      </w:r>
      <w:r>
        <w:rPr>
          <w:rFonts w:ascii="Times New Roman"/>
          <w:b w:val="false"/>
          <w:i w:val="false"/>
          <w:color w:val="000000"/>
          <w:sz w:val="28"/>
        </w:rPr>
        <w:t>
</w:t>
      </w:r>
      <w:r>
        <w:rPr>
          <w:rFonts w:ascii="Times New Roman"/>
          <w:b w:val="false"/>
          <w:i w:val="false"/>
          <w:color w:val="000000"/>
          <w:sz w:val="28"/>
        </w:rPr>
        <w:t>
      Сторонами обеспечивается возможность проведения консультаций между потребителями и производителями по вопросам, связанным с введением таких мер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каждая из Сторон обеспечивает потребителям других государств – членов Таможенного союза недискриминационные условия доступа к товарам, производимым на территории государства такой Стороны, в отношении которых Сторонами вводятся такие меры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По предложению заинтересованной Стороны Комиссия Таможенного союза рассматривает вопросы, связанные с применением настоящей Статьи, и принимает необходимые решения в соответствии с правилами и процедурами Комиссии Таможенного союза.</w:t>
      </w:r>
    </w:p>
    <w:bookmarkEnd w:id="16"/>
    <w:bookmarkStart w:name="z20" w:id="17"/>
    <w:p>
      <w:pPr>
        <w:spacing w:after="0"/>
        <w:ind w:left="0"/>
        <w:jc w:val="left"/>
      </w:pPr>
      <w:r>
        <w:rPr>
          <w:rFonts w:ascii="Times New Roman"/>
          <w:b/>
          <w:i w:val="false"/>
          <w:color w:val="000000"/>
        </w:rPr>
        <w:t xml:space="preserve"> 
Статья 8</w:t>
      </w:r>
    </w:p>
    <w:bookmarkEnd w:id="17"/>
    <w:bookmarkStart w:name="z21" w:id="18"/>
    <w:p>
      <w:pPr>
        <w:spacing w:after="0"/>
        <w:ind w:left="0"/>
        <w:jc w:val="both"/>
      </w:pPr>
      <w:r>
        <w:rPr>
          <w:rFonts w:ascii="Times New Roman"/>
          <w:b w:val="false"/>
          <w:i w:val="false"/>
          <w:color w:val="000000"/>
          <w:sz w:val="28"/>
        </w:rPr>
        <w:t>
      В ходе проведения пересмотра в соответствии с положениями статей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настоящего Соглашения Комиссия Таможенного союза обеспечивает проведение консультаций с иностранными государствами и экспортерами, интересы которых затрагиваются в связи с пересмотром.</w:t>
      </w:r>
    </w:p>
    <w:bookmarkEnd w:id="18"/>
    <w:bookmarkStart w:name="z22" w:id="19"/>
    <w:p>
      <w:pPr>
        <w:spacing w:after="0"/>
        <w:ind w:left="0"/>
        <w:jc w:val="left"/>
      </w:pPr>
      <w:r>
        <w:rPr>
          <w:rFonts w:ascii="Times New Roman"/>
          <w:b/>
          <w:i w:val="false"/>
          <w:color w:val="000000"/>
        </w:rPr>
        <w:t xml:space="preserve"> 
Статья 9</w:t>
      </w:r>
    </w:p>
    <w:bookmarkEnd w:id="19"/>
    <w:bookmarkStart w:name="z23" w:id="20"/>
    <w:p>
      <w:pPr>
        <w:spacing w:after="0"/>
        <w:ind w:left="0"/>
        <w:jc w:val="both"/>
      </w:pPr>
      <w:r>
        <w:rPr>
          <w:rFonts w:ascii="Times New Roman"/>
          <w:b w:val="false"/>
          <w:i w:val="false"/>
          <w:color w:val="000000"/>
          <w:sz w:val="28"/>
        </w:rPr>
        <w:t>
      Расследования, в том числе повторные, до принятия Комиссией Таможенного союза соответствующего решения проводятся уполномоченными органами государств – членов Таможенного союза, в том числе по собственной инициативе, в соответствии с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При этом заявления о проведении таких расследований представляются уполномоченным органам государств – членов Таможенного союза от имени отрасли экономики государств – членов Таможенного союза в соответствии с положениями указанного в настоящей статье Соглашения.</w:t>
      </w:r>
      <w:r>
        <w:br/>
      </w:r>
      <w:r>
        <w:rPr>
          <w:rFonts w:ascii="Times New Roman"/>
          <w:b w:val="false"/>
          <w:i w:val="false"/>
          <w:color w:val="000000"/>
          <w:sz w:val="28"/>
        </w:rPr>
        <w:t>
</w:t>
      </w:r>
      <w:r>
        <w:rPr>
          <w:rFonts w:ascii="Times New Roman"/>
          <w:b w:val="false"/>
          <w:i w:val="false"/>
          <w:color w:val="000000"/>
          <w:sz w:val="28"/>
        </w:rPr>
        <w:t>
      Заявление о применении специальной защитной, антидемпинговой или компенсационной меры, а также заявление о проведении повторного специального защитного, антидемпингового или компенсационного расследования подается в уполномоченный орган государства – члена Таможенного союза, на территории которого зарегистрированы производители аналогичного или непосредственно конкурирующего товара (для целей специального защитного расследования) либо аналогичного товара (для целей антидемпингового и компенсационного расследований).</w:t>
      </w:r>
      <w:r>
        <w:br/>
      </w:r>
      <w:r>
        <w:rPr>
          <w:rFonts w:ascii="Times New Roman"/>
          <w:b w:val="false"/>
          <w:i w:val="false"/>
          <w:color w:val="000000"/>
          <w:sz w:val="28"/>
        </w:rPr>
        <w:t>
</w:t>
      </w:r>
      <w:r>
        <w:rPr>
          <w:rFonts w:ascii="Times New Roman"/>
          <w:b w:val="false"/>
          <w:i w:val="false"/>
          <w:color w:val="000000"/>
          <w:sz w:val="28"/>
        </w:rPr>
        <w:t>
      В случае если производители зарегистрированы в более чем одном государстве – члене Таможенного союза, то такое заявление подается в уполномоченный орган государства – члена Таможенного союза, на территории которого зарегистрированы производители, на долю которых приходится большая часть в совокупном объеме производства соответственно аналогичного или непосредственно конкурирующего товара либо аналогичного товара производителей, которые подают или от лица которых подается заявление.</w:t>
      </w:r>
      <w:r>
        <w:br/>
      </w:r>
      <w:r>
        <w:rPr>
          <w:rFonts w:ascii="Times New Roman"/>
          <w:b w:val="false"/>
          <w:i w:val="false"/>
          <w:color w:val="000000"/>
          <w:sz w:val="28"/>
        </w:rPr>
        <w:t>
</w:t>
      </w:r>
      <w:r>
        <w:rPr>
          <w:rFonts w:ascii="Times New Roman"/>
          <w:b w:val="false"/>
          <w:i w:val="false"/>
          <w:color w:val="000000"/>
          <w:sz w:val="28"/>
        </w:rPr>
        <w:t>
      Комиссия Таможенного союза утверждает регламент проведения уполномоченными органами государств – членов Таможенного союза расследований, предшествующих введению специальных защитных, антидемпинговых и компенсационных мер, и внесения предложений по результатам расследований в Комиссию Таможенного союза.</w:t>
      </w:r>
      <w:r>
        <w:br/>
      </w:r>
      <w:r>
        <w:rPr>
          <w:rFonts w:ascii="Times New Roman"/>
          <w:b w:val="false"/>
          <w:i w:val="false"/>
          <w:color w:val="000000"/>
          <w:sz w:val="28"/>
        </w:rPr>
        <w:t>
</w:t>
      </w:r>
      <w:r>
        <w:rPr>
          <w:rFonts w:ascii="Times New Roman"/>
          <w:b w:val="false"/>
          <w:i w:val="false"/>
          <w:color w:val="000000"/>
          <w:sz w:val="28"/>
        </w:rPr>
        <w:t>
      Порядок формирования сведений, используемых для целей расследований, предшествующих введению специальных защитных, антидемпинговых и компенсационных мер по отношению к третьим странам, определяется Сторонами отдельно.</w:t>
      </w:r>
      <w:r>
        <w:br/>
      </w:r>
      <w:r>
        <w:rPr>
          <w:rFonts w:ascii="Times New Roman"/>
          <w:b w:val="false"/>
          <w:i w:val="false"/>
          <w:color w:val="000000"/>
          <w:sz w:val="28"/>
        </w:rPr>
        <w:t>
</w:t>
      </w:r>
      <w:r>
        <w:rPr>
          <w:rFonts w:ascii="Times New Roman"/>
          <w:b w:val="false"/>
          <w:i w:val="false"/>
          <w:color w:val="000000"/>
          <w:sz w:val="28"/>
        </w:rPr>
        <w:t>
      При проведении расследований и пересмотров введенных на единой таможенной территории Таможенного союза специальных защитных, антидемпинговых и компенсационных мер уполномоченные органы государств – членов Таможенного союза обеспечивают публичность и транспарентность проводимых процедур, а также представляют возможность заинтересованным лицам предоставить проводящему расследование уполномоченному органу государства – члена Таможенного союза свои комментарии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p>
    <w:bookmarkEnd w:id="20"/>
    <w:bookmarkStart w:name="z24" w:id="21"/>
    <w:p>
      <w:pPr>
        <w:spacing w:after="0"/>
        <w:ind w:left="0"/>
        <w:jc w:val="left"/>
      </w:pPr>
      <w:r>
        <w:rPr>
          <w:rFonts w:ascii="Times New Roman"/>
          <w:b/>
          <w:i w:val="false"/>
          <w:color w:val="000000"/>
        </w:rPr>
        <w:t xml:space="preserve"> 
Статья 10</w:t>
      </w:r>
    </w:p>
    <w:bookmarkEnd w:id="21"/>
    <w:bookmarkStart w:name="z25" w:id="22"/>
    <w:p>
      <w:pPr>
        <w:spacing w:after="0"/>
        <w:ind w:left="0"/>
        <w:jc w:val="both"/>
      </w:pPr>
      <w:r>
        <w:rPr>
          <w:rFonts w:ascii="Times New Roman"/>
          <w:b w:val="false"/>
          <w:i w:val="false"/>
          <w:color w:val="000000"/>
          <w:sz w:val="28"/>
        </w:rPr>
        <w:t>
      Органы государственной власти (управления) государств – членов Таможенного союза, уполномоченные в области таможенного дела, ведения государственной статистики, налогообложения и регистрации юридических лиц, другие органы государственной власти (управления) государств – членов Таможенного союза и территориальные (местные) органы государственной власти (управления) оказывают содействие в проведении расследований в отношении товаров из третьих стран и предоставляют уполномоченным органам государств – членов Таможенного союза необходимые в целях проведения расследований сведения, в том числе содержащие конфиденциальную информацию.</w:t>
      </w:r>
      <w:r>
        <w:br/>
      </w:r>
      <w:r>
        <w:rPr>
          <w:rFonts w:ascii="Times New Roman"/>
          <w:b w:val="false"/>
          <w:i w:val="false"/>
          <w:color w:val="000000"/>
          <w:sz w:val="28"/>
        </w:rPr>
        <w:t>
</w:t>
      </w:r>
      <w:r>
        <w:rPr>
          <w:rFonts w:ascii="Times New Roman"/>
          <w:b w:val="false"/>
          <w:i w:val="false"/>
          <w:color w:val="000000"/>
          <w:sz w:val="28"/>
        </w:rPr>
        <w:t>
      Информация, предоставляемая в уполномоченные органы государств – членов Таможенного союза, может быть использована только для тех целей, для которых такая информация была запрошена.</w:t>
      </w:r>
    </w:p>
    <w:bookmarkEnd w:id="22"/>
    <w:bookmarkStart w:name="z26" w:id="23"/>
    <w:p>
      <w:pPr>
        <w:spacing w:after="0"/>
        <w:ind w:left="0"/>
        <w:jc w:val="left"/>
      </w:pPr>
      <w:r>
        <w:rPr>
          <w:rFonts w:ascii="Times New Roman"/>
          <w:b/>
          <w:i w:val="false"/>
          <w:color w:val="000000"/>
        </w:rPr>
        <w:t xml:space="preserve"> 
Статья 11</w:t>
      </w:r>
    </w:p>
    <w:bookmarkEnd w:id="23"/>
    <w:bookmarkStart w:name="z27" w:id="24"/>
    <w:p>
      <w:pPr>
        <w:spacing w:after="0"/>
        <w:ind w:left="0"/>
        <w:jc w:val="both"/>
      </w:pPr>
      <w:r>
        <w:rPr>
          <w:rFonts w:ascii="Times New Roman"/>
          <w:b w:val="false"/>
          <w:i w:val="false"/>
          <w:color w:val="000000"/>
          <w:sz w:val="28"/>
        </w:rPr>
        <w:t>
      Информация, представляемая заинтересованным лицом в уполномоченный орган государств – членов Таможенного союза,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r>
        <w:br/>
      </w:r>
      <w:r>
        <w:rPr>
          <w:rFonts w:ascii="Times New Roman"/>
          <w:b w:val="false"/>
          <w:i w:val="false"/>
          <w:color w:val="000000"/>
          <w:sz w:val="28"/>
        </w:rPr>
        <w:t>
</w:t>
      </w:r>
      <w:r>
        <w:rPr>
          <w:rFonts w:ascii="Times New Roman"/>
          <w:b w:val="false"/>
          <w:i w:val="false"/>
          <w:color w:val="000000"/>
          <w:sz w:val="28"/>
        </w:rPr>
        <w:t>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государства каждой из Сторон.</w:t>
      </w:r>
      <w:r>
        <w:br/>
      </w:r>
      <w:r>
        <w:rPr>
          <w:rFonts w:ascii="Times New Roman"/>
          <w:b w:val="false"/>
          <w:i w:val="false"/>
          <w:color w:val="000000"/>
          <w:sz w:val="28"/>
        </w:rPr>
        <w:t>
</w:t>
      </w:r>
      <w:r>
        <w:rPr>
          <w:rFonts w:ascii="Times New Roman"/>
          <w:b w:val="false"/>
          <w:i w:val="false"/>
          <w:color w:val="000000"/>
          <w:sz w:val="28"/>
        </w:rPr>
        <w:t>
      Конфиденциальная информация, получаемая в ходе проведения расследования, подлежит защите в соответствии с национальным законодательством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Заинтересованные лица, представляющие конфиденциальную информацию, обязаны вместе с ней представлять неконфиденциальную версию такой информации. Неконфиденциальная версия должна быть достаточно подробной для понимания существа информации, представленной в конфиденциальном виде.</w:t>
      </w:r>
      <w:r>
        <w:br/>
      </w:r>
      <w:r>
        <w:rPr>
          <w:rFonts w:ascii="Times New Roman"/>
          <w:b w:val="false"/>
          <w:i w:val="false"/>
          <w:color w:val="000000"/>
          <w:sz w:val="28"/>
        </w:rPr>
        <w:t>
</w:t>
      </w:r>
      <w:r>
        <w:rPr>
          <w:rFonts w:ascii="Times New Roman"/>
          <w:b w:val="false"/>
          <w:i w:val="false"/>
          <w:color w:val="000000"/>
          <w:sz w:val="28"/>
        </w:rPr>
        <w:t>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государств – членов Таможенного союза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уполномоченный орган государств – членов Таможенного союза может не учитывать эту информацию.</w:t>
      </w:r>
      <w:r>
        <w:br/>
      </w:r>
      <w:r>
        <w:rPr>
          <w:rFonts w:ascii="Times New Roman"/>
          <w:b w:val="false"/>
          <w:i w:val="false"/>
          <w:color w:val="000000"/>
          <w:sz w:val="28"/>
        </w:rPr>
        <w:t>
</w:t>
      </w:r>
      <w:r>
        <w:rPr>
          <w:rFonts w:ascii="Times New Roman"/>
          <w:b w:val="false"/>
          <w:i w:val="false"/>
          <w:color w:val="000000"/>
          <w:sz w:val="28"/>
        </w:rPr>
        <w:t>
      Должностные лица уполномоченного органа государств – членов Таможенного союза и другие лица, имеющие доступ к конфиденциальной информации, несут ответственность за разглашение конфиденциальной информации, предусмотренную законодательством государства местонахождения уполномоченного органа.</w:t>
      </w:r>
    </w:p>
    <w:bookmarkEnd w:id="24"/>
    <w:bookmarkStart w:name="z28" w:id="25"/>
    <w:p>
      <w:pPr>
        <w:spacing w:after="0"/>
        <w:ind w:left="0"/>
        <w:jc w:val="left"/>
      </w:pPr>
      <w:r>
        <w:rPr>
          <w:rFonts w:ascii="Times New Roman"/>
          <w:b/>
          <w:i w:val="false"/>
          <w:color w:val="000000"/>
        </w:rPr>
        <w:t xml:space="preserve"> 
Статья 12</w:t>
      </w:r>
    </w:p>
    <w:bookmarkEnd w:id="25"/>
    <w:bookmarkStart w:name="z29" w:id="26"/>
    <w:p>
      <w:pPr>
        <w:spacing w:after="0"/>
        <w:ind w:left="0"/>
        <w:jc w:val="both"/>
      </w:pPr>
      <w:r>
        <w:rPr>
          <w:rFonts w:ascii="Times New Roman"/>
          <w:b w:val="false"/>
          <w:i w:val="false"/>
          <w:color w:val="000000"/>
          <w:sz w:val="28"/>
        </w:rPr>
        <w:t>
      До введения Комиссией Таможенного союза специальных защитных, антидемпинговых и компенсационных мер в отношении импорта товаров из третьих стран на единую таможенную территорию Таможенного союза государства – члены Таможенного союза применяют специальные защитные, антидемпинговые и компенсационные меры, введенные ранее в соответствии с законодательством государств – членов Таможенного союза, если иное не предусмотрено настоящим Соглашением и решениями Комиссии Таможенного союза.</w:t>
      </w:r>
    </w:p>
    <w:bookmarkEnd w:id="26"/>
    <w:bookmarkStart w:name="z30" w:id="27"/>
    <w:p>
      <w:pPr>
        <w:spacing w:after="0"/>
        <w:ind w:left="0"/>
        <w:jc w:val="left"/>
      </w:pPr>
      <w:r>
        <w:rPr>
          <w:rFonts w:ascii="Times New Roman"/>
          <w:b/>
          <w:i w:val="false"/>
          <w:color w:val="000000"/>
        </w:rPr>
        <w:t xml:space="preserve"> 
Статья 13</w:t>
      </w:r>
    </w:p>
    <w:bookmarkEnd w:id="27"/>
    <w:bookmarkStart w:name="z31" w:id="28"/>
    <w:p>
      <w:pPr>
        <w:spacing w:after="0"/>
        <w:ind w:left="0"/>
        <w:jc w:val="both"/>
      </w:pPr>
      <w:r>
        <w:rPr>
          <w:rFonts w:ascii="Times New Roman"/>
          <w:b w:val="false"/>
          <w:i w:val="false"/>
          <w:color w:val="000000"/>
          <w:sz w:val="28"/>
        </w:rPr>
        <w:t>
      Уплата специальных защитных, антидемпинговых и компенсационных пошлин, в том числе предварительных (временных) специальных защитных, антидемпинговых и компенсационных пошлин, установленных на национальном уровне, осуществляется в соответствии с национальным законодательством государства – члена Таможенного союза, по решению которого применяются данные пошлины.</w:t>
      </w:r>
    </w:p>
    <w:bookmarkEnd w:id="28"/>
    <w:bookmarkStart w:name="z32" w:id="29"/>
    <w:p>
      <w:pPr>
        <w:spacing w:after="0"/>
        <w:ind w:left="0"/>
        <w:jc w:val="left"/>
      </w:pPr>
      <w:r>
        <w:rPr>
          <w:rFonts w:ascii="Times New Roman"/>
          <w:b/>
          <w:i w:val="false"/>
          <w:color w:val="000000"/>
        </w:rPr>
        <w:t xml:space="preserve"> 
Статья 14</w:t>
      </w:r>
    </w:p>
    <w:bookmarkEnd w:id="29"/>
    <w:bookmarkStart w:name="z33" w:id="30"/>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 компенсационной меры суммы специальных, антидемпинговых и компенсационных пошлин (за исключением предварительных специальных, антидемпинговых и компенсационных пошлин) подлежат зачислению и распределению в порядке, определенном Таможенным кодексом Таможенного союза 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r>
        <w:br/>
      </w:r>
      <w:r>
        <w:rPr>
          <w:rFonts w:ascii="Times New Roman"/>
          <w:b w:val="false"/>
          <w:i w:val="false"/>
          <w:color w:val="000000"/>
          <w:sz w:val="28"/>
        </w:rPr>
        <w:t>
</w:t>
      </w:r>
      <w:r>
        <w:rPr>
          <w:rFonts w:ascii="Times New Roman"/>
          <w:b w:val="false"/>
          <w:i w:val="false"/>
          <w:color w:val="000000"/>
          <w:sz w:val="28"/>
        </w:rPr>
        <w:t>
      Специальные, антидемпинговые и компенсационные пошлины не могут быть зачтены в счет уплаты иных платежей.</w:t>
      </w:r>
      <w:r>
        <w:br/>
      </w:r>
      <w:r>
        <w:rPr>
          <w:rFonts w:ascii="Times New Roman"/>
          <w:b w:val="false"/>
          <w:i w:val="false"/>
          <w:color w:val="000000"/>
          <w:sz w:val="28"/>
        </w:rPr>
        <w:t>
</w:t>
      </w:r>
      <w:r>
        <w:rPr>
          <w:rFonts w:ascii="Times New Roman"/>
          <w:b w:val="false"/>
          <w:i w:val="false"/>
          <w:color w:val="000000"/>
          <w:sz w:val="28"/>
        </w:rPr>
        <w:t>
      В счет уплаты специальных, антидемпинговых и компенсационных пошлин могут быть зачтены налоги и сборы, а также иные платежи (за исключением ввозных таможенных пошлин), поступившие на единый счет государственного органа, осуществляющего кассовое обслуживание исполнения бюджета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Уплата предварительных специальных, антидемпинговых и компенсационных пошлин осуществляется в соответствии с национальным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или компенсационной меры по результатам соответствующего расследования суммы уплаченной предварительной специальной, антидемпинговой или компенсационной пошлины (полностью или частично в случаях,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подлежат зачислению и распределению в порядке, определенном Таможенным кодексом Таможенного союза 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r>
        <w:br/>
      </w:r>
      <w:r>
        <w:rPr>
          <w:rFonts w:ascii="Times New Roman"/>
          <w:b w:val="false"/>
          <w:i w:val="false"/>
          <w:color w:val="000000"/>
          <w:sz w:val="28"/>
        </w:rPr>
        <w:t>
</w:t>
      </w:r>
      <w:r>
        <w:rPr>
          <w:rFonts w:ascii="Times New Roman"/>
          <w:b w:val="false"/>
          <w:i w:val="false"/>
          <w:color w:val="000000"/>
          <w:sz w:val="28"/>
        </w:rPr>
        <w:t>
      В случае если по результатам расследования установлено, что отсутствуют основания для введения специальной, антидемпинговой или компенсационной меры, суммы уплаченной предварительной специальной, антидемпинговой или компенсационной пошлины подлежат возврату плательщику.</w:t>
      </w:r>
      <w:r>
        <w:br/>
      </w:r>
      <w:r>
        <w:rPr>
          <w:rFonts w:ascii="Times New Roman"/>
          <w:b w:val="false"/>
          <w:i w:val="false"/>
          <w:color w:val="000000"/>
          <w:sz w:val="28"/>
        </w:rPr>
        <w:t>
</w:t>
      </w:r>
      <w:r>
        <w:rPr>
          <w:rFonts w:ascii="Times New Roman"/>
          <w:b w:val="false"/>
          <w:i w:val="false"/>
          <w:color w:val="000000"/>
          <w:sz w:val="28"/>
        </w:rPr>
        <w:t>
      Возврат (полностью или частично в случаях,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денежных средств, вносимых для уплаты предварительных специальных, антидемпинговых и компенсационных пошлин, принимаемых в соответствии с предварительными результатами расследования, осуществляется в порядке, установленном законодательством государства – члена Таможенного союза, таможенными органами которого взималась предварительная специальная, антидемпинговая или компенсационная пошлина.</w:t>
      </w:r>
      <w:r>
        <w:br/>
      </w:r>
      <w:r>
        <w:rPr>
          <w:rFonts w:ascii="Times New Roman"/>
          <w:b w:val="false"/>
          <w:i w:val="false"/>
          <w:color w:val="000000"/>
          <w:sz w:val="28"/>
        </w:rPr>
        <w:t>
</w:t>
      </w:r>
      <w:r>
        <w:rPr>
          <w:rFonts w:ascii="Times New Roman"/>
          <w:b w:val="false"/>
          <w:i w:val="false"/>
          <w:color w:val="000000"/>
          <w:sz w:val="28"/>
        </w:rPr>
        <w:t>
      В случае если в рамках проведения повторного расследования в связи с истечением срока действия антидемпинговой или компенсационной меры временно продлевается применение соответствующей меры, антидемпинговые и компенсационные пошлины, применяемые до окончания такого повторного расследования, уплачиваются в порядке, установленном настоящим Соглашением для уплаты предварительных антидемпинговых и компенсационных пошлин.</w:t>
      </w:r>
      <w:r>
        <w:br/>
      </w:r>
      <w:r>
        <w:rPr>
          <w:rFonts w:ascii="Times New Roman"/>
          <w:b w:val="false"/>
          <w:i w:val="false"/>
          <w:color w:val="000000"/>
          <w:sz w:val="28"/>
        </w:rPr>
        <w:t>
</w:t>
      </w:r>
      <w:r>
        <w:rPr>
          <w:rFonts w:ascii="Times New Roman"/>
          <w:b w:val="false"/>
          <w:i w:val="false"/>
          <w:color w:val="000000"/>
          <w:sz w:val="28"/>
        </w:rPr>
        <w:t>
      Если по результатам повторного расследования, на время проведения которого было продлено применение антидемпинговой или компенсационной меры, установлено, что отсутствуют основания для продления срока действия соответствующей меры, суммы антидемпинговых или компенсационных пошлин, взимавшихся в течение срока, на который было продлено применение соответствующей меры, подлежат возврату плательщику в порядке, установленном для возврата предварительных антидемпинговых и компенсационных пошлин.</w:t>
      </w:r>
      <w:r>
        <w:br/>
      </w:r>
      <w:r>
        <w:rPr>
          <w:rFonts w:ascii="Times New Roman"/>
          <w:b w:val="false"/>
          <w:i w:val="false"/>
          <w:color w:val="000000"/>
          <w:sz w:val="28"/>
        </w:rPr>
        <w:t>
</w:t>
      </w:r>
      <w:r>
        <w:rPr>
          <w:rFonts w:ascii="Times New Roman"/>
          <w:b w:val="false"/>
          <w:i w:val="false"/>
          <w:color w:val="000000"/>
          <w:sz w:val="28"/>
        </w:rPr>
        <w:t>
      Возврат плательщику излишне уплаченных (излишне взысканных) специальных, антидемпинговых и компенсационных пошлин осуществляется с единого счета органа, осуществляющего кассовое обслуживание исполнения бюджета государства – члена Таможенного союза, в порядке, установленном для возврата излишне уплаченных сумм таможенных пошлин законодательством государства – члена Таможенного союза, таможенными органами которого взималась специальная, антидемпинговая или компенсационная пошлина, с учетом особенностей, установленных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для возврата ввозных таможенных пошлин.</w:t>
      </w:r>
    </w:p>
    <w:bookmarkEnd w:id="30"/>
    <w:bookmarkStart w:name="z34" w:id="31"/>
    <w:p>
      <w:pPr>
        <w:spacing w:after="0"/>
        <w:ind w:left="0"/>
        <w:jc w:val="left"/>
      </w:pPr>
      <w:r>
        <w:rPr>
          <w:rFonts w:ascii="Times New Roman"/>
          <w:b/>
          <w:i w:val="false"/>
          <w:color w:val="000000"/>
        </w:rPr>
        <w:t xml:space="preserve"> 
Статья 15</w:t>
      </w:r>
    </w:p>
    <w:bookmarkEnd w:id="31"/>
    <w:bookmarkStart w:name="z35" w:id="32"/>
    <w:p>
      <w:pPr>
        <w:spacing w:after="0"/>
        <w:ind w:left="0"/>
        <w:jc w:val="both"/>
      </w:pPr>
      <w:r>
        <w:rPr>
          <w:rFonts w:ascii="Times New Roman"/>
          <w:b w:val="false"/>
          <w:i w:val="false"/>
          <w:color w:val="000000"/>
          <w:sz w:val="28"/>
        </w:rPr>
        <w:t>
      Стороны определяют порядок осуществления Комиссией Таможенного союза функций по проведению расследований, в том числе путем создания и (или) определения соответствующего органа Комиссии Таможенного союза и порядка работы с конфиденциальной информацией.</w:t>
      </w:r>
    </w:p>
    <w:bookmarkEnd w:id="32"/>
    <w:bookmarkStart w:name="z36" w:id="33"/>
    <w:p>
      <w:pPr>
        <w:spacing w:after="0"/>
        <w:ind w:left="0"/>
        <w:jc w:val="left"/>
      </w:pPr>
      <w:r>
        <w:rPr>
          <w:rFonts w:ascii="Times New Roman"/>
          <w:b/>
          <w:i w:val="false"/>
          <w:color w:val="000000"/>
        </w:rPr>
        <w:t xml:space="preserve"> 
Статья 16</w:t>
      </w:r>
    </w:p>
    <w:bookmarkEnd w:id="33"/>
    <w:bookmarkStart w:name="z37" w:id="34"/>
    <w:p>
      <w:pPr>
        <w:spacing w:after="0"/>
        <w:ind w:left="0"/>
        <w:jc w:val="both"/>
      </w:pPr>
      <w:r>
        <w:rPr>
          <w:rFonts w:ascii="Times New Roman"/>
          <w:b w:val="false"/>
          <w:i w:val="false"/>
          <w:color w:val="000000"/>
          <w:sz w:val="28"/>
        </w:rPr>
        <w:t>
      Суд, наделенный полномочиями для рассмотрения исков уполномоченных органов и субъектов хозяйствования третьих стран, а также субъектов хозяйствования государств – членов Таможенного союза, определяется отдельным международным договором.</w:t>
      </w:r>
      <w:r>
        <w:br/>
      </w:r>
      <w:r>
        <w:rPr>
          <w:rFonts w:ascii="Times New Roman"/>
          <w:b w:val="false"/>
          <w:i w:val="false"/>
          <w:color w:val="000000"/>
          <w:sz w:val="28"/>
        </w:rPr>
        <w:t>
</w:t>
      </w:r>
      <w:r>
        <w:rPr>
          <w:rFonts w:ascii="Times New Roman"/>
          <w:b w:val="false"/>
          <w:i w:val="false"/>
          <w:color w:val="000000"/>
          <w:sz w:val="28"/>
        </w:rPr>
        <w:t>
      Споры и разногласия между Сторонами, связанные с толкованием и (или) применением настоящего Соглашения, разрешаются путем консультаций или переговоров заинтересованных Сторон. В случае недостижения согласия спор передается по инициативе любой из заинтересованных Сторон на рассмотрение в Суд Евразийского экономического сообщества.</w:t>
      </w:r>
    </w:p>
    <w:bookmarkEnd w:id="34"/>
    <w:bookmarkStart w:name="z38" w:id="35"/>
    <w:p>
      <w:pPr>
        <w:spacing w:after="0"/>
        <w:ind w:left="0"/>
        <w:jc w:val="left"/>
      </w:pPr>
      <w:r>
        <w:rPr>
          <w:rFonts w:ascii="Times New Roman"/>
          <w:b/>
          <w:i w:val="false"/>
          <w:color w:val="000000"/>
        </w:rPr>
        <w:t xml:space="preserve"> 
Статья 17</w:t>
      </w:r>
    </w:p>
    <w:bookmarkEnd w:id="35"/>
    <w:bookmarkStart w:name="z39" w:id="36"/>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36"/>
    <w:bookmarkStart w:name="z40" w:id="37"/>
    <w:p>
      <w:pPr>
        <w:spacing w:after="0"/>
        <w:ind w:left="0"/>
        <w:jc w:val="left"/>
      </w:pPr>
      <w:r>
        <w:rPr>
          <w:rFonts w:ascii="Times New Roman"/>
          <w:b/>
          <w:i w:val="false"/>
          <w:color w:val="000000"/>
        </w:rPr>
        <w:t xml:space="preserve"> 
Статья 18</w:t>
      </w:r>
    </w:p>
    <w:bookmarkEnd w:id="37"/>
    <w:bookmarkStart w:name="z41" w:id="38"/>
    <w:p>
      <w:pPr>
        <w:spacing w:after="0"/>
        <w:ind w:left="0"/>
        <w:jc w:val="both"/>
      </w:pPr>
      <w:r>
        <w:rPr>
          <w:rFonts w:ascii="Times New Roman"/>
          <w:b w:val="false"/>
          <w:i w:val="false"/>
          <w:color w:val="000000"/>
          <w:sz w:val="28"/>
        </w:rPr>
        <w:t>
      Настоящее Соглашение временно применяется с даты подписания, подлежит ратификации и вступает в силу с даты получения депозитарием последней ратификационной грамоты.</w:t>
      </w:r>
    </w:p>
    <w:bookmarkEnd w:id="38"/>
    <w:bookmarkStart w:name="z42" w:id="39"/>
    <w:p>
      <w:pPr>
        <w:spacing w:after="0"/>
        <w:ind w:left="0"/>
        <w:jc w:val="both"/>
      </w:pPr>
      <w:r>
        <w:rPr>
          <w:rFonts w:ascii="Times New Roman"/>
          <w:b w:val="false"/>
          <w:i w:val="false"/>
          <w:color w:val="000000"/>
          <w:sz w:val="28"/>
        </w:rPr>
        <w:t>
      Совершено в городе Санкт-Петербург 19 ноября 2010 года в одном подлинном экземпляре на русском языке.</w:t>
      </w:r>
    </w:p>
    <w:bookmarkEnd w:id="39"/>
    <w:bookmarkStart w:name="z43" w:id="40"/>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433"/>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44" w:id="41"/>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предоставления органу, проводящему расследования,</w:t>
      </w:r>
      <w:r>
        <w:br/>
      </w:r>
      <w:r>
        <w:rPr>
          <w:rFonts w:ascii="Times New Roman"/>
          <w:b/>
          <w:i w:val="false"/>
          <w:color w:val="000000"/>
        </w:rPr>
        <w:t>
сведений, содержащих в том числе конфиденциальную информацию,</w:t>
      </w:r>
      <w:r>
        <w:br/>
      </w:r>
      <w:r>
        <w:rPr>
          <w:rFonts w:ascii="Times New Roman"/>
          <w:b/>
          <w:i w:val="false"/>
          <w:color w:val="000000"/>
        </w:rPr>
        <w:t>
для целей расследований, предшествующих введению специальных</w:t>
      </w:r>
      <w:r>
        <w:br/>
      </w:r>
      <w:r>
        <w:rPr>
          <w:rFonts w:ascii="Times New Roman"/>
          <w:b/>
          <w:i w:val="false"/>
          <w:color w:val="000000"/>
        </w:rPr>
        <w:t>
защитных, антидемпинговых и компенсационных мер</w:t>
      </w:r>
      <w:r>
        <w:br/>
      </w:r>
      <w:r>
        <w:rPr>
          <w:rFonts w:ascii="Times New Roman"/>
          <w:b/>
          <w:i w:val="false"/>
          <w:color w:val="000000"/>
        </w:rPr>
        <w:t>
по отношению к третьим странам</w:t>
      </w:r>
    </w:p>
    <w:bookmarkEnd w:id="41"/>
    <w:bookmarkStart w:name="z46" w:id="42"/>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Договоре о Таможенном кодексе Таможенного союза от 27 ноября 2009 года и Протоколе к нему от 16 апреля 2010 года, Соглашении о применении специальных защитных, антидемпинговых и компенсационных мер по отношению к третьим странам от 25 января 2008 года, иных договорах и документах, составляющих договорно-правовую базу Таможенного союза в сфере регулирования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в целях обеспечения органа, проводящего расследования, предшествующие введению специальных защитных, антидемпинговых и компенсационных мер по отношению к третьим странам, сведениями, содержащими в том числе конфиденциальную информацию, от уполномоченных органов государственной власти (управления), территориальных (местных) органов государственной власти (управления), других органов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2"/>
    <w:bookmarkStart w:name="z47" w:id="43"/>
    <w:p>
      <w:pPr>
        <w:spacing w:after="0"/>
        <w:ind w:left="0"/>
        <w:jc w:val="left"/>
      </w:pPr>
      <w:r>
        <w:rPr>
          <w:rFonts w:ascii="Times New Roman"/>
          <w:b/>
          <w:i w:val="false"/>
          <w:color w:val="000000"/>
        </w:rPr>
        <w:t xml:space="preserve"> 
Статья 1</w:t>
      </w:r>
    </w:p>
    <w:bookmarkEnd w:id="43"/>
    <w:bookmarkStart w:name="z48" w:id="44"/>
    <w:p>
      <w:pPr>
        <w:spacing w:after="0"/>
        <w:ind w:left="0"/>
        <w:jc w:val="both"/>
      </w:pPr>
      <w:r>
        <w:rPr>
          <w:rFonts w:ascii="Times New Roman"/>
          <w:b w:val="false"/>
          <w:i w:val="false"/>
          <w:color w:val="000000"/>
          <w:sz w:val="28"/>
        </w:rPr>
        <w:t>
      Орган, проводящий расследования, предшествующие применению специальной защитной, антидемпинговой или компенсационной меры по отношению к третьим странам (далее – орган, проводящий расследования), для целей начала и проведения расследований, объективного анализа воздействия возросшего, демпингового, субсидируемого импорта на отрасль экономики государств – членов Таможенного союза и ситуацию на товарном рынке государств – членов Таможенного союза, а также подготовки предложений по результатам проведенных расследований, направляет соответствующие запросы в органы государственной власти (управления) и территориальные (местные) органы государственной власти (управления) государств – членов Таможенного союза, уполномоченные в области таможенного дела, статистики, налогообложения, регистрации юридических лиц и других областях, а также в дипломатические и торговые представительства государств – членов Таможенного союза в третьих странах (далее – компетентные органы государств – членов Таможенного союза) или в уполномоченные органы государств – членов Таможенного союза, определенные решением Комиссии Таможенного союза.</w:t>
      </w:r>
    </w:p>
    <w:bookmarkEnd w:id="44"/>
    <w:bookmarkStart w:name="z49" w:id="45"/>
    <w:p>
      <w:pPr>
        <w:spacing w:after="0"/>
        <w:ind w:left="0"/>
        <w:jc w:val="left"/>
      </w:pPr>
      <w:r>
        <w:rPr>
          <w:rFonts w:ascii="Times New Roman"/>
          <w:b/>
          <w:i w:val="false"/>
          <w:color w:val="000000"/>
        </w:rPr>
        <w:t xml:space="preserve"> 
Статья 2</w:t>
      </w:r>
    </w:p>
    <w:bookmarkEnd w:id="45"/>
    <w:bookmarkStart w:name="z50" w:id="46"/>
    <w:p>
      <w:pPr>
        <w:spacing w:after="0"/>
        <w:ind w:left="0"/>
        <w:jc w:val="both"/>
      </w:pPr>
      <w:r>
        <w:rPr>
          <w:rFonts w:ascii="Times New Roman"/>
          <w:b w:val="false"/>
          <w:i w:val="false"/>
          <w:color w:val="000000"/>
          <w:sz w:val="28"/>
        </w:rPr>
        <w:t>
      Запросы в компетентные органы и уполномоченные органы государств – членов Таможенного союза о предоставлении информации оформляются в письменном виде на бланке органа, проводящего расследования, и подписываются руководителем (его заместителем) органа, проводящего расследования, с указанием цели, правовых оснований и срока предоставления информации.</w:t>
      </w:r>
      <w:r>
        <w:br/>
      </w:r>
      <w:r>
        <w:rPr>
          <w:rFonts w:ascii="Times New Roman"/>
          <w:b w:val="false"/>
          <w:i w:val="false"/>
          <w:color w:val="000000"/>
          <w:sz w:val="28"/>
        </w:rPr>
        <w:t>
</w:t>
      </w:r>
      <w:r>
        <w:rPr>
          <w:rFonts w:ascii="Times New Roman"/>
          <w:b w:val="false"/>
          <w:i w:val="false"/>
          <w:color w:val="000000"/>
          <w:sz w:val="28"/>
        </w:rPr>
        <w:t>
      Запросы в компетентные органы и уполномоченные органы государств – членов Таможенного союза направляются почтовой связью и при необходимости дублируются посредством служебной электронной почты, зарегистрированной на сервере органа, проводящего расследования. В случае передачи запросов путем факсимильной связи оригинал документа должен быть также направлен почтовой связью.</w:t>
      </w:r>
      <w:r>
        <w:br/>
      </w:r>
      <w:r>
        <w:rPr>
          <w:rFonts w:ascii="Times New Roman"/>
          <w:b w:val="false"/>
          <w:i w:val="false"/>
          <w:color w:val="000000"/>
          <w:sz w:val="28"/>
        </w:rPr>
        <w:t>
</w:t>
      </w:r>
      <w:r>
        <w:rPr>
          <w:rFonts w:ascii="Times New Roman"/>
          <w:b w:val="false"/>
          <w:i w:val="false"/>
          <w:color w:val="000000"/>
          <w:sz w:val="28"/>
        </w:rPr>
        <w:t>
      Сведения по запросам органа, проводящего расследования, предоставляются компетентными органами и уполномоченными органами государств – членов Таможенного союза на безвозмездной основе.</w:t>
      </w:r>
    </w:p>
    <w:bookmarkEnd w:id="46"/>
    <w:bookmarkStart w:name="z51" w:id="47"/>
    <w:p>
      <w:pPr>
        <w:spacing w:after="0"/>
        <w:ind w:left="0"/>
        <w:jc w:val="left"/>
      </w:pPr>
      <w:r>
        <w:rPr>
          <w:rFonts w:ascii="Times New Roman"/>
          <w:b/>
          <w:i w:val="false"/>
          <w:color w:val="000000"/>
        </w:rPr>
        <w:t xml:space="preserve"> 
Статья 3</w:t>
      </w:r>
    </w:p>
    <w:bookmarkEnd w:id="47"/>
    <w:bookmarkStart w:name="z52" w:id="48"/>
    <w:p>
      <w:pPr>
        <w:spacing w:after="0"/>
        <w:ind w:left="0"/>
        <w:jc w:val="both"/>
      </w:pPr>
      <w:r>
        <w:rPr>
          <w:rFonts w:ascii="Times New Roman"/>
          <w:b w:val="false"/>
          <w:i w:val="false"/>
          <w:color w:val="000000"/>
          <w:sz w:val="28"/>
        </w:rPr>
        <w:t>
      Компетентные органы и уполномоченные органы государств – членов Таможенного союза в рамках своей компетенции предоставляют запрашивающему органу, проводящему расследования, необходимую для целей расследования информацию по запрашиваемым временным периодам, включая:</w:t>
      </w:r>
      <w:r>
        <w:br/>
      </w:r>
      <w:r>
        <w:rPr>
          <w:rFonts w:ascii="Times New Roman"/>
          <w:b w:val="false"/>
          <w:i w:val="false"/>
          <w:color w:val="000000"/>
          <w:sz w:val="28"/>
        </w:rPr>
        <w:t>
</w:t>
      </w:r>
      <w:r>
        <w:rPr>
          <w:rFonts w:ascii="Times New Roman"/>
          <w:b w:val="false"/>
          <w:i w:val="false"/>
          <w:color w:val="000000"/>
          <w:sz w:val="28"/>
        </w:rPr>
        <w:t>
      статистические данные о внешней торговле;</w:t>
      </w:r>
      <w:r>
        <w:br/>
      </w:r>
      <w:r>
        <w:rPr>
          <w:rFonts w:ascii="Times New Roman"/>
          <w:b w:val="false"/>
          <w:i w:val="false"/>
          <w:color w:val="000000"/>
          <w:sz w:val="28"/>
        </w:rPr>
        <w:t>
</w:t>
      </w:r>
      <w:r>
        <w:rPr>
          <w:rFonts w:ascii="Times New Roman"/>
          <w:b w:val="false"/>
          <w:i w:val="false"/>
          <w:color w:val="000000"/>
          <w:sz w:val="28"/>
        </w:rPr>
        <w:t>
      таможенные данные о внешней торговле за предшествующий период, необходимые для проведения расследования. При необходимости таможенные данные о внешней торговле должны предоставляться с разбивкой по таможенным декларациям (далее – ТД), с указанием натуральных и стоимостных показателей экспорта/импорта товара, коммерческого наименования товара из ТД, условий поставки, страны происхождения (страны отправления, страны назначения), наименования и других учетных реквизитов отправителя и получателя;</w:t>
      </w:r>
      <w:r>
        <w:br/>
      </w:r>
      <w:r>
        <w:rPr>
          <w:rFonts w:ascii="Times New Roman"/>
          <w:b w:val="false"/>
          <w:i w:val="false"/>
          <w:color w:val="000000"/>
          <w:sz w:val="28"/>
        </w:rPr>
        <w:t>
</w:t>
      </w:r>
      <w:r>
        <w:rPr>
          <w:rFonts w:ascii="Times New Roman"/>
          <w:b w:val="false"/>
          <w:i w:val="false"/>
          <w:color w:val="000000"/>
          <w:sz w:val="28"/>
        </w:rPr>
        <w:t>
      информацию о внутреннем рынке товара, являющегося объектом расследования, и соответствующей отрасли экономики государств – членов Таможенного союза, в том числе данные по объемам производства товара, загрузке производственных мощностей, реализации товара, себестоимости товара, прибылям и убыткам национальных предприятий государств – членов Таможенного союза, ценам товара на внутреннем рынке государств – членов Таможенного союза, рентабельности производства, численности персонала, инвестициям;</w:t>
      </w:r>
      <w:r>
        <w:br/>
      </w:r>
      <w:r>
        <w:rPr>
          <w:rFonts w:ascii="Times New Roman"/>
          <w:b w:val="false"/>
          <w:i w:val="false"/>
          <w:color w:val="000000"/>
          <w:sz w:val="28"/>
        </w:rPr>
        <w:t>
</w:t>
      </w:r>
      <w:r>
        <w:rPr>
          <w:rFonts w:ascii="Times New Roman"/>
          <w:b w:val="false"/>
          <w:i w:val="false"/>
          <w:color w:val="000000"/>
          <w:sz w:val="28"/>
        </w:rPr>
        <w:t>
      информацию об оценке последствий возможного введения или невведения специальной защитной, антидемпинговой или компенсационной меры по результатам соответствующего расследования на рынок товара, являющегося объектом расследования, государств – членов Таможенного союза, а также прогноз производственной деятельности национальных предприятий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Приведенный в настоящей статье перечень сведений не является исчерпывающим. В случае необходимости и исходя из целей проведения расследования и подготовки предложений по его результатам орган, проводящий расследования, вправе запросить сведения, не указанные в настоящей статье.</w:t>
      </w:r>
      <w:r>
        <w:br/>
      </w:r>
      <w:r>
        <w:rPr>
          <w:rFonts w:ascii="Times New Roman"/>
          <w:b w:val="false"/>
          <w:i w:val="false"/>
          <w:color w:val="000000"/>
          <w:sz w:val="28"/>
        </w:rPr>
        <w:t>
</w:t>
      </w:r>
      <w:r>
        <w:rPr>
          <w:rFonts w:ascii="Times New Roman"/>
          <w:b w:val="false"/>
          <w:i w:val="false"/>
          <w:color w:val="000000"/>
          <w:sz w:val="28"/>
        </w:rPr>
        <w:t>
      Представление информации должно осуществляться на электронных носителях информации. При передаче информации, которая может быть представлена в табличной форме (статистическая и таможенная информация), используется формат, указанный в запросе органа, проводящего расследования. Структура передаваемых таблиц определяется по согласованию обменивающихся органов. При отсутствии возможности предоставления информации на электронном носителе информация передается на бумажном носителе.</w:t>
      </w:r>
      <w:r>
        <w:br/>
      </w:r>
      <w:r>
        <w:rPr>
          <w:rFonts w:ascii="Times New Roman"/>
          <w:b w:val="false"/>
          <w:i w:val="false"/>
          <w:color w:val="000000"/>
          <w:sz w:val="28"/>
        </w:rPr>
        <w:t>
</w:t>
      </w:r>
      <w:r>
        <w:rPr>
          <w:rFonts w:ascii="Times New Roman"/>
          <w:b w:val="false"/>
          <w:i w:val="false"/>
          <w:color w:val="000000"/>
          <w:sz w:val="28"/>
        </w:rPr>
        <w:t>
      Передача информации осуществляется согласованными между обменивающимися органами средствами, доступными на момент передачи и обеспечивающими сохранность и защиту информации от несанкционированного доступа. В случае направления информации путем факсимильной связи оригинал документа должен быть также направлен почтовой связью.</w:t>
      </w:r>
      <w:r>
        <w:br/>
      </w:r>
      <w:r>
        <w:rPr>
          <w:rFonts w:ascii="Times New Roman"/>
          <w:b w:val="false"/>
          <w:i w:val="false"/>
          <w:color w:val="000000"/>
          <w:sz w:val="28"/>
        </w:rPr>
        <w:t>
</w:t>
      </w:r>
      <w:r>
        <w:rPr>
          <w:rFonts w:ascii="Times New Roman"/>
          <w:b w:val="false"/>
          <w:i w:val="false"/>
          <w:color w:val="000000"/>
          <w:sz w:val="28"/>
        </w:rPr>
        <w:t>
      Переписка по вопросам реализации положений настоящего Протокола и предоставление сведений по запросам органа, проводящего расследования, осуществляются на русском языке. По отдельным реквизитам (показателям), содержащим иностранные наименования, допускается предоставление информации, с использованием букв латинского алфавита.</w:t>
      </w:r>
    </w:p>
    <w:bookmarkEnd w:id="48"/>
    <w:bookmarkStart w:name="z53" w:id="49"/>
    <w:p>
      <w:pPr>
        <w:spacing w:after="0"/>
        <w:ind w:left="0"/>
        <w:jc w:val="left"/>
      </w:pPr>
      <w:r>
        <w:rPr>
          <w:rFonts w:ascii="Times New Roman"/>
          <w:b/>
          <w:i w:val="false"/>
          <w:color w:val="000000"/>
        </w:rPr>
        <w:t xml:space="preserve"> 
Статья 4</w:t>
      </w:r>
    </w:p>
    <w:bookmarkEnd w:id="49"/>
    <w:bookmarkStart w:name="z54" w:id="50"/>
    <w:p>
      <w:pPr>
        <w:spacing w:after="0"/>
        <w:ind w:left="0"/>
        <w:jc w:val="both"/>
      </w:pPr>
      <w:r>
        <w:rPr>
          <w:rFonts w:ascii="Times New Roman"/>
          <w:b w:val="false"/>
          <w:i w:val="false"/>
          <w:color w:val="000000"/>
          <w:sz w:val="28"/>
        </w:rPr>
        <w:t>
      Информация, отнесенная законодательством государства – члена Таможенного союза к информации с ограниченным доступом(конфиденциальная информация), за исключением сведений, составляющих государственную тайну (государственные секреты),предоставляется в орган, проводящий расследования, с соблюдением требований, установленных законодательством государства – члена Таможенного союза по ее защите.</w:t>
      </w:r>
      <w:r>
        <w:br/>
      </w:r>
      <w:r>
        <w:rPr>
          <w:rFonts w:ascii="Times New Roman"/>
          <w:b w:val="false"/>
          <w:i w:val="false"/>
          <w:color w:val="000000"/>
          <w:sz w:val="28"/>
        </w:rPr>
        <w:t>
</w:t>
      </w:r>
      <w:r>
        <w:rPr>
          <w:rFonts w:ascii="Times New Roman"/>
          <w:b w:val="false"/>
          <w:i w:val="false"/>
          <w:color w:val="000000"/>
          <w:sz w:val="28"/>
        </w:rPr>
        <w:t>
      Орган, проводящий расследования, обязан не разглашать и не передавать третьей стороне конфиденциальную информацию,указанную в части первой настоящей статьи, без письменного согласия компетентного органа государства – члена Таможенного союза, предоставившего эту информацию.</w:t>
      </w:r>
      <w:r>
        <w:br/>
      </w:r>
      <w:r>
        <w:rPr>
          <w:rFonts w:ascii="Times New Roman"/>
          <w:b w:val="false"/>
          <w:i w:val="false"/>
          <w:color w:val="000000"/>
          <w:sz w:val="28"/>
        </w:rPr>
        <w:t>
</w:t>
      </w:r>
      <w:r>
        <w:rPr>
          <w:rFonts w:ascii="Times New Roman"/>
          <w:b w:val="false"/>
          <w:i w:val="false"/>
          <w:color w:val="000000"/>
          <w:sz w:val="28"/>
        </w:rPr>
        <w:t>
      Внутренний порядок использования конфиденциальной информации и хранения документов, содержащих конфиденциальную информацию, определяется внутренним документом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До истечения переходного периода в соответствии с Решением Межгосударственного Совета Евразийского экономического сообщества (Высшего органа Таможенного союза) от 21 мая 2010 года № 37 порядок обращения с конфиденциальной информацией и правила хранения документов, содержащих конфиденциальную информацию, а также ответственность сотрудников органа, проводящего расследования, за разглашение конфиденциальной информации определяются законодательством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По истечении переходного периода порядок обращения с конфиденциальной информацией и правила хранения документов, содержащих конфиденциальную информацию, а также ответственность сотрудников органа, проводящего расследования, за разглашение конфиденциальной информации определяются отдельно.</w:t>
      </w:r>
    </w:p>
    <w:bookmarkEnd w:id="50"/>
    <w:bookmarkStart w:name="z55" w:id="51"/>
    <w:p>
      <w:pPr>
        <w:spacing w:after="0"/>
        <w:ind w:left="0"/>
        <w:jc w:val="left"/>
      </w:pPr>
      <w:r>
        <w:rPr>
          <w:rFonts w:ascii="Times New Roman"/>
          <w:b/>
          <w:i w:val="false"/>
          <w:color w:val="000000"/>
        </w:rPr>
        <w:t xml:space="preserve"> 
Статья 5</w:t>
      </w:r>
    </w:p>
    <w:bookmarkEnd w:id="51"/>
    <w:bookmarkStart w:name="z56" w:id="52"/>
    <w:p>
      <w:pPr>
        <w:spacing w:after="0"/>
        <w:ind w:left="0"/>
        <w:jc w:val="both"/>
      </w:pPr>
      <w:r>
        <w:rPr>
          <w:rFonts w:ascii="Times New Roman"/>
          <w:b w:val="false"/>
          <w:i w:val="false"/>
          <w:color w:val="000000"/>
          <w:sz w:val="28"/>
        </w:rPr>
        <w:t>
      Компетентные органы государств – членов Таможенного союза обязаны:</w:t>
      </w:r>
      <w:r>
        <w:br/>
      </w:r>
      <w:r>
        <w:rPr>
          <w:rFonts w:ascii="Times New Roman"/>
          <w:b w:val="false"/>
          <w:i w:val="false"/>
          <w:color w:val="000000"/>
          <w:sz w:val="28"/>
        </w:rPr>
        <w:t>
</w:t>
      </w:r>
      <w:r>
        <w:rPr>
          <w:rFonts w:ascii="Times New Roman"/>
          <w:b w:val="false"/>
          <w:i w:val="false"/>
          <w:color w:val="000000"/>
          <w:sz w:val="28"/>
        </w:rPr>
        <w:t>
      в течение 30 календарных дней с момента получения запроса органа, проводящего расследования, предоставлять имеющиеся в их распоряжении сведения или предупреждать о невозможности предоставления сведений с указанием причин отказа. По мотивированной просьбе органа, проводящего расследования, запрошенные сведения должны быть предоставлены в более короткие сроки;</w:t>
      </w:r>
      <w:r>
        <w:br/>
      </w:r>
      <w:r>
        <w:rPr>
          <w:rFonts w:ascii="Times New Roman"/>
          <w:b w:val="false"/>
          <w:i w:val="false"/>
          <w:color w:val="000000"/>
          <w:sz w:val="28"/>
        </w:rPr>
        <w:t>
</w:t>
      </w:r>
      <w:r>
        <w:rPr>
          <w:rFonts w:ascii="Times New Roman"/>
          <w:b w:val="false"/>
          <w:i w:val="false"/>
          <w:color w:val="000000"/>
          <w:sz w:val="28"/>
        </w:rPr>
        <w:t>
      обеспечивать полноту и достоверность предоставляемых сведений и при необходимости оперативно предоставлять дополнения и изменения.</w:t>
      </w:r>
    </w:p>
    <w:bookmarkEnd w:id="52"/>
    <w:bookmarkStart w:name="z57" w:id="53"/>
    <w:p>
      <w:pPr>
        <w:spacing w:after="0"/>
        <w:ind w:left="0"/>
        <w:jc w:val="left"/>
      </w:pPr>
      <w:r>
        <w:rPr>
          <w:rFonts w:ascii="Times New Roman"/>
          <w:b/>
          <w:i w:val="false"/>
          <w:color w:val="000000"/>
        </w:rPr>
        <w:t xml:space="preserve"> 
Статья 6</w:t>
      </w:r>
    </w:p>
    <w:bookmarkEnd w:id="53"/>
    <w:bookmarkStart w:name="z58" w:id="54"/>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Протокола, разрешаются в первую очередь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путем консультаций и переговоров, любая из Сторон может передать этот спор для рассмотрения в Суд Евразийского экономического сообщества.</w:t>
      </w:r>
    </w:p>
    <w:bookmarkEnd w:id="54"/>
    <w:bookmarkStart w:name="z59" w:id="55"/>
    <w:p>
      <w:pPr>
        <w:spacing w:after="0"/>
        <w:ind w:left="0"/>
        <w:jc w:val="left"/>
      </w:pPr>
      <w:r>
        <w:rPr>
          <w:rFonts w:ascii="Times New Roman"/>
          <w:b/>
          <w:i w:val="false"/>
          <w:color w:val="000000"/>
        </w:rPr>
        <w:t xml:space="preserve"> 
Статья 7</w:t>
      </w:r>
    </w:p>
    <w:bookmarkEnd w:id="55"/>
    <w:bookmarkStart w:name="z60" w:id="56"/>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bookmarkEnd w:id="56"/>
    <w:bookmarkStart w:name="z61" w:id="57"/>
    <w:p>
      <w:pPr>
        <w:spacing w:after="0"/>
        <w:ind w:left="0"/>
        <w:jc w:val="left"/>
      </w:pPr>
      <w:r>
        <w:rPr>
          <w:rFonts w:ascii="Times New Roman"/>
          <w:b/>
          <w:i w:val="false"/>
          <w:color w:val="000000"/>
        </w:rPr>
        <w:t xml:space="preserve"> 
Статья 8</w:t>
      </w:r>
    </w:p>
    <w:bookmarkEnd w:id="57"/>
    <w:bookmarkStart w:name="z62" w:id="58"/>
    <w:p>
      <w:pPr>
        <w:spacing w:after="0"/>
        <w:ind w:left="0"/>
        <w:jc w:val="both"/>
      </w:pPr>
      <w:r>
        <w:rPr>
          <w:rFonts w:ascii="Times New Roman"/>
          <w:b w:val="false"/>
          <w:i w:val="false"/>
          <w:color w:val="000000"/>
          <w:sz w:val="28"/>
        </w:rPr>
        <w:t>
      Настоящий Протокол временно применяется с даты подписания, подлежит ратификации и вступает в силу с даты получения депозитарием последнего письменного уведомления по дипломатическим каналам о выполнении государствами – членами Таможенного союза внутригосударственных процедур, необходимых для вступления настоящего Протокола в силу.</w:t>
      </w:r>
    </w:p>
    <w:bookmarkEnd w:id="58"/>
    <w:bookmarkStart w:name="z63" w:id="59"/>
    <w:p>
      <w:pPr>
        <w:spacing w:after="0"/>
        <w:ind w:left="0"/>
        <w:jc w:val="both"/>
      </w:pPr>
      <w:r>
        <w:rPr>
          <w:rFonts w:ascii="Times New Roman"/>
          <w:b w:val="false"/>
          <w:i w:val="false"/>
          <w:color w:val="000000"/>
          <w:sz w:val="28"/>
        </w:rPr>
        <w:t>
      Совершено в городе Санкт-Петербург 19 ноября 2010 года в одном подлинном экземпляре на русском языке.</w:t>
      </w:r>
    </w:p>
    <w:bookmarkEnd w:id="59"/>
    <w:bookmarkStart w:name="z64" w:id="60"/>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