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62f88" w14:textId="1b62f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Договоре о порядке перемещения физическими лицами наличных денежных средств и (или) денежных инструментов через таможенную границу таможенного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Межгосударственного Совета Евразийского экономического сообщества от 5 июля 2010 года № 51.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Межгосударственный Совет Евразийского экономического сообщества (высший орган таможенного союза) на уровне глав государств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Принять </w:t>
      </w:r>
      <w:r>
        <w:rPr>
          <w:rFonts w:ascii="Times New Roman"/>
          <w:b w:val="false"/>
          <w:i w:val="false"/>
          <w:color w:val="000000"/>
          <w:sz w:val="28"/>
        </w:rPr>
        <w:t>Договор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перемещения физическими лицами наличных денежных средств и (или) денежных инструментов через таможенную границу таможенного союза (прилагается).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Правительствам государств – членов таможенного союза обеспечить приведение национального законодательства в соответствие с Договором,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Межгосударственного Совета: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ДОГОВОР</w:t>
      </w:r>
      <w:r>
        <w:br/>
      </w:r>
      <w:r>
        <w:rPr>
          <w:rFonts w:ascii="Times New Roman"/>
          <w:b/>
          <w:i w:val="false"/>
          <w:color w:val="000000"/>
        </w:rPr>
        <w:t>о порядке перемещения физическими лицами</w:t>
      </w:r>
      <w:r>
        <w:br/>
      </w:r>
      <w:r>
        <w:rPr>
          <w:rFonts w:ascii="Times New Roman"/>
          <w:b/>
          <w:i w:val="false"/>
          <w:color w:val="000000"/>
        </w:rPr>
        <w:t>наличных денежных средств и (или) денежных инструментов</w:t>
      </w:r>
      <w:r>
        <w:br/>
      </w:r>
      <w:r>
        <w:rPr>
          <w:rFonts w:ascii="Times New Roman"/>
          <w:b/>
          <w:i w:val="false"/>
          <w:color w:val="000000"/>
        </w:rPr>
        <w:t>через таможенную границу таможенного союза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 – члены таможенного союза в рамках Евразийского экономического сообщества, далее именуемые Сторонами,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основываясь на положениях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создании единой таможенной территории и формировании таможенного союза от 6 октября 2007 года и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Таможенном кодексе таможенного союза от 27 ноября 2009 года,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 общепризнанные принципы и нормы международного права,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договорились о нижеследующем:</w:t>
      </w:r>
    </w:p>
    <w:bookmarkEnd w:id="7"/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Договор определяет порядок перемещения физическими лицами наличных денежных средств и (или) денежных инструментов через таможенную границу таможенного союза.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Отношения, возникающие в связи с перемещением физическими лицами наличных денежных средств и (или) денежных инструментов через таможенную границу таможенного союза, не урегулированные настоящим Договором, регулируются иными международными договорами таможенного союза, а в случае их отсутствия – законодательством Сторон.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Положения настоящего Договора не регулируют отношения, возникающие в связи с перемещением физическими лицами через таможенную границу таможенного союза монет из драгоценных металлов, являющихся законным платежным средством.</w:t>
      </w:r>
    </w:p>
    <w:bookmarkEnd w:id="11"/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целей настоящего Договора используются следующие термины и их определения: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"наличные денежные средства" – денежные знаки в виде банкнот и казначейских билетов, монет, за исключением монет из драгоценных металлов, находящиеся в обращении и являющиеся законным платежным средством в государствах – членах таможенного союза или иностранных государствах (группе иностранных государств), включая изъятые либо изымаемые из обращения, но подлежащие обмену на находящиеся в обращении денежные знаки;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"денежные инструменты" – дорожные чеки, векселя, чеки (банковские чеки), а также ценные бумаги в документарной форме, удостоверяющие обязательство эмитента (должника) по выплате денежных средств, в которых не указано лицо, которому осуществляется такая выплата.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Иные понятия, используемые в настоящем Договоре, применяются в значениях, установленных таможенным законодательством таможенного союза, а в случаях, не установленных таможенным законодательством таможенного союза, – законодательством Сторон.</w:t>
      </w:r>
    </w:p>
    <w:bookmarkEnd w:id="16"/>
    <w:bookmarkStart w:name="z1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Ввоз физическим лицом наличных денежных средств и (или) дорожных чеков на таможенную территорию таможенного союза осуществляется без ограничений в следующем порядке: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единовременном ввозе наличных денежных средств и (или) дорожных чеков на общую сумму, равную либо не превышающую в эквиваленте 10 тысяч долларов США, указанные денежные средства и (или) дорожные чеки не подлежат таможенному декларированию в письменной форме;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единовременном ввозе наличных денежных средств и (или) дорожных чеков на общую сумму, превышающую в эквиваленте 10 тысяч долларов США, указанные денежные средства и (или) дорожные чеки подлежат таможенному декларированию в письменной форме путем подачи пассажирской таможенной декларации на всю сумму ввозимых наличных денежных средств и (или) дорожных чеков.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Единовременный ввоз физическим лицом наличных денежных средств и (или) дорожных чеков на общую сумму, равную либо не превышающую в эквиваленте 10 тысяч долларов США, может быть задекларирован в письменной форме по желанию физического лица.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Ввоз физическим лицом денежных инструментов, за исключением дорожных чеков, осуществляется при условии таможенного декларирования в письменной форме путем подачи пассажирской таможенной декларации.</w:t>
      </w:r>
    </w:p>
    <w:bookmarkEnd w:id="22"/>
    <w:bookmarkStart w:name="z2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Вывоз физическим лицом наличных денежных средств и (или) дорожных чеков с таможенной территории таможенного союза осуществляется без ограничений в следующем порядке: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единовременном вывозе наличных денежных средств и (или) дорожных чеков на общую сумму, равную либо не превышающую в эквиваленте 10 тысяч долларов США, указанные денежные средства и (или) дорожные чеки не подлежат таможенному декларированию в письменной форме;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единовременном вывозе наличных денежных средств и (или) дорожных чеков на общую сумму, превышающую в эквиваленте 10 тысяч долларов США, указанные денежные средства и (или) дорожные чеки подлежат таможенному декларированию в письменной форме путем подачи пассажирской таможенной декларации на всю сумму вывозимых наличных денежных средств и (или) дорожных чеков.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Единовременный вывоз физическим лицом наличных денежных средств и (или) дорожных чеков в общей сумме, равной либо не превышающей в эквиваленте 10 тысяч долларов США, может быть задекларирован в письменной форме по желанию физического лица.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Вывоз физическим лицом денежных инструментов, за исключением дорожных чеков, осуществляется при условии таможенного декларирования в письменной форме путем подачи пассажирской таможенной декларации.</w:t>
      </w:r>
    </w:p>
    <w:bookmarkEnd w:id="28"/>
    <w:bookmarkStart w:name="z3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случаях ввоза на таможенную территорию таможенного союза или вывоза с этой территории физическим лицом наличных денежных средств и (или) дорожных чеков перерасчет в доллары США осуществляется по курсу, установленному в соответствии с законодательством той Стороны, через государственную границу которой перемещаются такие наличные денежные средства и (или) дорожные чеки, на день подачи пассажирской таможенной декларации таможенному органу.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 таможенном декларировании денежных инструментов, за исключением дорожных чеков, в пассажирской таможенной декларации указывается номинальная стоимость либо соответствующая сумма в валюте государства – члена таможенного союза или иностранной валюте, право на получение которой удостоверяет денежный инструмент. В случае отсутствия номинальной стоимости и невозможности определить сумму в валюте государства – члена таможенного союза или иностранной валюте, право на получение которой удостоверяет денежный инструмент, в пассажирской таможенной декларации указывается количество перемещаемых денежных инструментов.</w:t>
      </w:r>
    </w:p>
    <w:bookmarkEnd w:id="31"/>
    <w:bookmarkStart w:name="z3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противодействия легализации (отмыванию) доходов, полученных преступным путем, и финансированию терроризма при перемещении физическими лицами через таможенную границу таможенного союза наличных денежных средств и (или) денежных инструментов, подлежащих обязательному декларированию в письменной форме, в пассажирской таможенной декларации должны быть дополнительно указаны следующие сведения: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рождения физического лица, реквизиты документа, подтверждающего право иностранного гражданина или лица без гражданства на пребывание (проживание) на территории государства – члена таможенного союза, адрес места жительства (регистрации) или места пребывания на территории государства – члена таможенного союза;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денежных инструментах, за исключением дорожных чеков, (вид денежного инструмента, наименование эмитента, дата выпуска и идентифицирующий номер при наличии);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об источнике наличных денежных средств и (или) денежных инструментов, их владельцах (в случаях перемещения наличных денежных средств и (или) денежных инструментов, не являющихся собственностью декларанта), а также о предполагаемом использовании;</w:t>
      </w:r>
    </w:p>
    <w:bookmarkEnd w:id="36"/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 маршруте и способе перевозки (о виде транспорта) наличных денежных средств и (или) денежных инструментов.</w:t>
      </w:r>
    </w:p>
    <w:bookmarkEnd w:id="37"/>
    <w:bookmarkStart w:name="z39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38"/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Споры между Сторонами, связанные с толкованием и (или) применением положений настоящего Договора, разрешаются путем проведения консультаций и переговоров между Сторонами.</w:t>
      </w:r>
    </w:p>
    <w:bookmarkEnd w:id="39"/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Если спор не будет урегулирован Сторонами путем консультаций и переговоров в течение шести месяцев с даты получения официальной письменной просьбы об их проведении, направленной одной из Сторон другой Стороне, любая из Сторон может передать этот спор для рассмотрения в Суд Евразийского экономического сообщества.</w:t>
      </w:r>
    </w:p>
    <w:bookmarkEnd w:id="40"/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Комиссия таможенного союза оказывает содействие Сторонам в урегулировании спора до передачи его в Суд Евразийского экономического сообщества.</w:t>
      </w:r>
    </w:p>
    <w:bookmarkEnd w:id="41"/>
    <w:bookmarkStart w:name="z43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42"/>
    <w:bookmarkStart w:name="z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Оговорки к настоящему Договору не допускаются.</w:t>
      </w:r>
    </w:p>
    <w:bookmarkEnd w:id="43"/>
    <w:bookmarkStart w:name="z45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bookmarkEnd w:id="44"/>
    <w:bookmarkStart w:name="z4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договоренности Сторон в настоящий Договор могут быть внесены изменения, которые оформляются отдельными протоколами, являющимися неотъемлемой частью настоящего Договора.</w:t>
      </w:r>
    </w:p>
    <w:bookmarkEnd w:id="45"/>
    <w:bookmarkStart w:name="z47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bookmarkEnd w:id="46"/>
    <w:bookmarkStart w:name="z4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Договор временно применяется с даты подписания, но не ранее даты вступления в силу Договора о Таможенном кодексе таможенного союза от 27 ноября 2009 года и подлежит ратификации.</w:t>
      </w:r>
    </w:p>
    <w:bookmarkEnd w:id="47"/>
    <w:bookmarkStart w:name="z4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Договор вступает в силу с даты получения депозитарием последнего письменного уведомления по дипломатическим каналам о выполнении Сторонами внутригосударственных процедур, необходимых для вступления настоящего Договора в силу, но не ранее даты вступления в силу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Таможенном кодексе таможенного союза от 27 ноября 2009 года.</w:t>
      </w:r>
    </w:p>
    <w:bookmarkEnd w:id="48"/>
    <w:bookmarkStart w:name="z5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Астане 5 июля 2010 года в одном подлинном экземпляре на русском языке.</w:t>
      </w:r>
    </w:p>
    <w:bookmarkEnd w:id="49"/>
    <w:bookmarkStart w:name="z5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настоящего Договора хранится в Комиссии таможенного союза, которая является депозитарием настоящего Договора и направит каждой Стороне его заверенную копию.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Российскую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Федерацию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