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7aec" w14:textId="9957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105.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"Косвенные налоги" Д.Е. Ергожина о результатах согласования проекта Протокола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 (далее - проект Протокола).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Протокола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 1 проекта решения Межгоссовета ЕврАзЭС (высшего органа таможенного союза) на уровне глав правительств "О международных договорах и иных нормативных актах о реализации основных положений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года", одобренного Решением Комиссии таможенного союза от 25 сентября 2009 года № 86,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"Протокол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 (Приложение № 3)".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в срок до 20 ноября 2009 года завершить внутригосударственные процедуры, необходимые для принятия проекта Протокола.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Секретариату Комиссии таможенного союза в срок до 20 ноября 2009 года разработать проект решения Межгосударственного Совета (высшего органа таможенного союза), регламентирующего сроки вступления в силу международных договоров, составляющих договорно-правовую базу таможенного союза, в сфере косвенного налогообложения.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