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a2f8" w14:textId="eeda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Дополнительных мероприятий по созданию единой системы нетарифного регулирования в таможенном союзе, утвержденных Решением Комиссии таможенного союза от 22.04.2009 г.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68.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"Нетарифное регулирование" Ламкова В.В. о результатах формирования Единого перечня товаров, к которым применяются запреты и ограничения на ввоз или вывоз государствами - участниками таможенного союза в рамках Евразийского экономического сообщества в торговле с третьими странами (далее - Единый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Сторонам на согласование подготовленные экспертами разделы Единого перечня (прилагаются).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Сторон поручить заинтересованным органам исполнительной власти: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оперативное рассмотрение и согласование разделов Единого перечня,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до 25 августа 2009 года представить согласованные разделы в Секретариат Комиссии таможенного союза;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подготовку проектов положений о применении запретов и ограничений к товарам, включенным в Единый перечень (далее - проекты положений), с обязательным привлечением к указанной работе таможенных органов и других уполномоченных органов исполнительной власти Сторон.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поручить руководителям соответствующих министерств и ведомств, в компетенции которых находятся разделы Единого перечня, по которым имеются разногласия принципиального характера, провести до 25 августа 2009 года работу по снятию указанных разногласий и совместно внести в Секретариат Комиссии таможенного союза согласованное решение по данному вопросу.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Руководителю экспертной группы по направлению "Нетарифное регулирование" Ламкову В.В. доложить о подготовке проектов положений на очередном заседании Комиссии таможенного союза.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Просить российскую Сторону поручить Федеральной таможенной службе Российской Федерации до 15 сентября 2009 года провести сверку всех разделов Единого перечня по наименованиям и кодам с ТН ВЭД ЕврАзЭС и о результатах проинформировать Секретариат Комиссии таможенного союза.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целесообразным осуществление при необходимости Сторонами государственного регулирования внешнеторговых бартерных сделок посредством применения механизмов налогового контроля.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Предложить российской Стороне внести необходимые изменения в национальное законодательство в части отмены действующей разрешительной системы, применяемой в отношении внешнеторговых бартерных сделок.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