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840c" w14:textId="2478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марта 2009 года № 29.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во второй половине апреля 2009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четвертого заседания Комиссии таможенного союза (прилагается).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