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22f8" w14:textId="1f22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м таможенном тариф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марта 2009 года № 24. Утратил силу решением Коллегии Евразийской экономической комиссии от 13 марта 2018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3.03.2018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состоянии дел по формированию Единого таможенного тариф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м завершить рассмотрение проекта Единого таможенного тарифа с точки зрения возможных изменений структуры производства, потребления и импор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ой группе "Таможенно-тарифное регулирование" подготовить предложения по возможным решениям поставленных Сторонами проблемных вопрос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оссийской Стороне, основываясь на положениях Соглашения об общей Товарной номенклатуре внешнеэкономической деятельности Евразийского экономического сообщества от 20 сентября 2002 года, вести в качестве оператора товарную номенклатуру Единого таможенного тариф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