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22f8" w14:textId="1f22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ом таможенном тариф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марта 2009 года № 24. Утратил силу решением Коллегии Евразийской экономической комиссии от 13 марта 2018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3.03.2018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состоянии дел по формированию Единого таможенного тариф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м завершить рассмотрение проекта Единого таможенного тарифа с точки зрения возможных изменений структуры производства, потребления и импор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ой группе "Таможенно-тарифное регулирование" подготовить предложения по возможным решениям поставленных Сторонами проблемных вопросо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оссийской Стороне, основываясь на положениях Соглашения об общей Товарной номенклатуре внешнеэкономической деятельности Евразийского экономического сообщества от 20 сентября 2002 года, вести в качестве оператора товарную номенклатуру Единого таможенного тариф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