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5868" w14:textId="d5f5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экспертных группах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2009 года № 20.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составы экспертных групп "Выработка механизма зачисления и распределения сумм таможенных пошлин, иных пошлин, налогов и сборов, имеющих эквивалентное действие" и "Вопросы пограничной политики государств, формирующих таможенный союз" (прилагаются), определив ответственной Стороной по этим направлениям Российскую Федерацию.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экспертной группы "Выработка механизма зачисления и распределения сумм таможенных пошлин, иных пошлин, налогов и сборов, имеющих эквивалентное действие" директора Департамента налоговой и таможенно-тарифной политики Министерства финансов Российской Федерации Трунина Илью Вячеславовича;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экспертной группы "Вопросы пограничной политики государств, формирующих таможенный союз" заместителя руководителя Службы -руководителя департамента пограничной охраны Пограничной службы Федеральной службы безопасности Инчина Евгения Сергеевича.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экспертной группы "Выработка механизма зачисления и распределения сумм таможенных пошлин, иных пошлин, налогов и сборов, имеющих эквивалентное действие" Трунину И.В. в десятидневный срок представить План работы экспертной группы, исходя из необходимости подготовки предложений по механизму зачисления и распределения сумм таможенных пошлин, иных пошлин, налогов и сборов, имеющих эквивалентное действие, к очередному заседанию Комиссии таможенного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2009 года № 20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Составы экспертных групп</w:t>
      </w:r>
      <w:r>
        <w:br/>
      </w:r>
      <w:r>
        <w:rPr>
          <w:rFonts w:ascii="Times New Roman"/>
          <w:b/>
          <w:i w:val="false"/>
          <w:color w:val="000000"/>
        </w:rPr>
        <w:t>по разработке проектов документов,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Мероприятиями по реализации</w:t>
      </w:r>
      <w:r>
        <w:br/>
      </w:r>
      <w:r>
        <w:rPr>
          <w:rFonts w:ascii="Times New Roman"/>
          <w:b/>
          <w:i w:val="false"/>
          <w:color w:val="000000"/>
        </w:rPr>
        <w:t>Плана действий по формированию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VIII. ВЫРАБОТКА МЕХАНИЗМА ЗАЧИСЛЕНИЯ И РАСПРЕДЕЛЕНИЯ СУММ</w:t>
      </w:r>
      <w:r>
        <w:br/>
      </w:r>
      <w:r>
        <w:rPr>
          <w:rFonts w:ascii="Times New Roman"/>
          <w:b/>
          <w:i w:val="false"/>
          <w:color w:val="000000"/>
        </w:rPr>
        <w:t>ТАМОЖЕННЫХ ПОШЛИН, ИНЫХ ПОШЛИН, НАЛОГОВ И СБОРОВ, ИМЕЮЩИХ</w:t>
      </w:r>
      <w:r>
        <w:br/>
      </w:r>
      <w:r>
        <w:rPr>
          <w:rFonts w:ascii="Times New Roman"/>
          <w:b/>
          <w:i w:val="false"/>
          <w:color w:val="000000"/>
        </w:rPr>
        <w:t>ЭКВИВАЛЕНТНОЕ ДЕЙСТВИЕ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0"/>
        <w:gridCol w:w="97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Леонидович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бюджетной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учета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ведомственного контроля Министерства по налогам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сборам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Шпилевская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Зоя Брониславовна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казначейства – начальник управления кассовых поступлений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бюджетных обязательств Министерства финансов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Харламенкова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Феликсовна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тарифного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таможенных платежей Государственного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Тарарышкина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Ивановна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Главного управления налоговой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доходов бюджета Министерства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Ходжабергенова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Джудановна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таможенных платежей Управления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Комитета таможенного контроля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Жанабек Орынбаевич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особым поручениям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 Комитета административной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 (ответственный разработчик)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Вячеславович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налоговой и таможенно-тарифной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Министерства финансов Российской Федерации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экспертной группы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заместитель начальника Главного управления федеральных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доходов и тарифного регулирования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Владимировна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налоговой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таможенно-тарифной политики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Сводного департамента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Вазыховна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нормативного регулирования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финансово-экономической интеграции Департамента 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таможенно-тарифной политики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Сводного департамента анализа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таможенных 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налоговой и таможенно-тарифной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Решетняков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Иванович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Главного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федеральных таможенных доходов и тарифного регулирования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Евгеньевна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нормативного регулирования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финансово-экономической интеграции Департамента налоговой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таможенно-тарифной политики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Интеграционного Комитета ЕврАзЭС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Парфененко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бюджетной, налоговой политики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валютно-финансовых отношений</w:t>
            </w:r>
          </w:p>
        </w:tc>
      </w:tr>
      <w:tr>
        <w:trPr>
          <w:trHeight w:val="30" w:hRule="atLeast"/>
        </w:trPr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Нурматбек Таджиевич</w:t>
            </w:r>
          </w:p>
        </w:tc>
        <w:tc>
          <w:tcPr>
            <w:tcW w:w="9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бюджетной, налоговой политики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валютно-финансовых отношений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