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163c" w14:textId="13c1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части первой статьи 2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13 апреля 2007 года N 01-1/5-06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СНГ Керимбаевой А.Ш., судей Экономического Суда СНГ: Абдуллоева Ф., Жолдыбаева С.Ж., Мирошник В.И.,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СНГ Шаршуна В.А., </w:t>
      </w:r>
      <w:r>
        <w:br/>
      </w:r>
      <w:r>
        <w:rPr>
          <w:rFonts w:ascii="Times New Roman"/>
          <w:b w:val="false"/>
          <w:i w:val="false"/>
          <w:color w:val="000000"/>
          <w:sz w:val="28"/>
        </w:rPr>
        <w:t xml:space="preserve">
      рассмотрев в открытом судебном заседании дело по запросу Совета министров обороны государств-участников Содружества Независимых Государств о толковании,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УСТАНОВИЛ: </w:t>
      </w:r>
    </w:p>
    <w:bookmarkEnd w:id="1"/>
    <w:p>
      <w:pPr>
        <w:spacing w:after="0"/>
        <w:ind w:left="0"/>
        <w:jc w:val="both"/>
      </w:pPr>
      <w:r>
        <w:rPr>
          <w:rFonts w:ascii="Times New Roman"/>
          <w:b w:val="false"/>
          <w:i w:val="false"/>
          <w:color w:val="000000"/>
          <w:sz w:val="28"/>
        </w:rPr>
        <w:t>      Совет министров обороны государств-участников СНГ обратился в Экономический Суд СНГ с запросом о толковании применения части первой  </w:t>
      </w:r>
      <w:r>
        <w:rPr>
          <w:rFonts w:ascii="Times New Roman"/>
          <w:b w:val="false"/>
          <w:i w:val="false"/>
          <w:color w:val="000000"/>
          <w:sz w:val="28"/>
        </w:rPr>
        <w:t xml:space="preserve">статьи 2 </w:t>
      </w:r>
      <w:r>
        <w:rPr>
          <w:rFonts w:ascii="Times New Roman"/>
          <w:b w:val="false"/>
          <w:i w:val="false"/>
          <w:color w:val="000000"/>
          <w:sz w:val="28"/>
        </w:rPr>
        <w:t xml:space="preserve">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Основанием для запроса послужило обращение в Секретариат Совета министров обороны бывшего военнослужащего Вооруженных Сил Республики Узбекистан Скворцова Я.Я., которому в Российской Федерации было отказано в назначении пенсии за выслугу лет. Отказ обусловлен тем, что в срок службы в Вооруженных Силах Российской Федерации время работы в органах прокуратуры, учтенное Скворцову Я.Я. при назначении пенсии в Республике Узбекистан, не засчитывается.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Совет министров обороны государств-участников СНГ просит разъяснить, должны ли государства-участники Соглашения от 15 мая 1992 года в случае переезда лиц, уволенных с военной службы, на постоянное место жительства в другое государство при назначении им пенсии по новому месту жительства засчитывать в выслугу лет трудовой стаж, не связанный со службой в вооруженных силах, если по законодательству государства, где они проходили службу, такая трудовая деятельность включалась в стаж службы в вооруженных силах.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Заслушав судью-докладчика Молчанову Т.Н., обсудив заключение Генерального советника Экономического Суда СНГ Шаршуна В.А. и исследовав имеющиеся в деле материалы, Экономический Суд СНГ пришел к следующим выводам.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Соглашение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(далее - Соглашение от 15 мая 1992 года) вступило в силу с момента его подписания государствами: Республикой Армения, Республикой Беларусь, Республикой Казахстан, Кыргызской Республикой, Республикой Молдова, Российской Федерацией, Республикой Таджикистан, Республикой Узбекистан, Украиной. Туркменистан и Азербайджанская Республика присоединились к Соглашению соответственно 5 сентября 1994 года и 19 января 2001 года. Соглашение не подписано Грузией.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от 15 мая 1992 года является специальным международным договором, поскольку устанавливает порядок пенсионного обеспечения определенного круга лиц - военнослужащих и членов их семей. Вместе с тем, как указано в преамбуле данного Соглашения, оно основывается на  </w:t>
      </w:r>
      <w:r>
        <w:rPr>
          <w:rFonts w:ascii="Times New Roman"/>
          <w:b w:val="false"/>
          <w:i w:val="false"/>
          <w:color w:val="000000"/>
          <w:sz w:val="28"/>
        </w:rPr>
        <w:t xml:space="preserve">Соглашении </w:t>
      </w:r>
      <w:r>
        <w:rPr>
          <w:rFonts w:ascii="Times New Roman"/>
          <w:b w:val="false"/>
          <w:i w:val="false"/>
          <w:color w:val="000000"/>
          <w:sz w:val="28"/>
        </w:rPr>
        <w:t>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(далее - Соглашение от 14 февраля 1992 года) и на  </w:t>
      </w:r>
      <w:r>
        <w:rPr>
          <w:rFonts w:ascii="Times New Roman"/>
          <w:b w:val="false"/>
          <w:i w:val="false"/>
          <w:color w:val="000000"/>
          <w:sz w:val="28"/>
        </w:rPr>
        <w:t xml:space="preserve">Соглашении </w:t>
      </w:r>
      <w:r>
        <w:rPr>
          <w:rFonts w:ascii="Times New Roman"/>
          <w:b w:val="false"/>
          <w:i w:val="false"/>
          <w:color w:val="000000"/>
          <w:sz w:val="28"/>
        </w:rPr>
        <w:t>о гарантиях прав граждан государств-участников Содружества Независимых Государств в области пенсионного обеспечения от 13 марта 1992 года (далее - Соглашение от 13 марта 1992 года). В силу этого Экономический Суд, руководствуясь  </w:t>
      </w:r>
      <w:r>
        <w:rPr>
          <w:rFonts w:ascii="Times New Roman"/>
          <w:b w:val="false"/>
          <w:i w:val="false"/>
          <w:color w:val="000000"/>
          <w:sz w:val="28"/>
        </w:rPr>
        <w:t xml:space="preserve">статьей 30 </w:t>
      </w:r>
      <w:r>
        <w:rPr>
          <w:rFonts w:ascii="Times New Roman"/>
          <w:b w:val="false"/>
          <w:i w:val="false"/>
          <w:color w:val="000000"/>
          <w:sz w:val="28"/>
        </w:rPr>
        <w:t xml:space="preserve">Венской конвенции о праве международных договоров от 23 мая 1969 года, считает необходимым дать толкование части первой статьи 2 Соглашения от 15 мая 1992 года не только с учетом положений и целей указанного Соглашения, но и во взаимосвязи с принципами и правилами, содержащимися в Соглашении от 14 февраля 1992 года и Соглашении от 13 марта 1992 года.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Согласно части первой статьи 2 Соглашения от 15 мая 1992 года "в выслугу лет для назначения пенсий военнослужащим засчитывается служба (в том числе на льготных условиях) в Вооруженных Силах и других воинских формированиях, указанных в статье 1 настоящего Соглашения, в порядке, установленном законодательством государств-участников, на территории которых военнослужащие проходили службу". </w:t>
      </w:r>
      <w:r>
        <w:br/>
      </w:r>
      <w:r>
        <w:rPr>
          <w:rFonts w:ascii="Times New Roman"/>
          <w:b w:val="false"/>
          <w:i w:val="false"/>
          <w:color w:val="000000"/>
          <w:sz w:val="28"/>
        </w:rPr>
        <w:t>
 </w:t>
      </w:r>
    </w:p>
    <w:bookmarkEnd w:id="6"/>
    <w:bookmarkStart w:name="z15" w:id="7"/>
    <w:p>
      <w:pPr>
        <w:spacing w:after="0"/>
        <w:ind w:left="0"/>
        <w:jc w:val="both"/>
      </w:pPr>
      <w:r>
        <w:rPr>
          <w:rFonts w:ascii="Times New Roman"/>
          <w:b w:val="false"/>
          <w:i w:val="false"/>
          <w:color w:val="000000"/>
          <w:sz w:val="28"/>
        </w:rPr>
        <w:t xml:space="preserve">
      В статье 1 Соглашения от 15 мая 1992 года государствами-участниками закреплен общий принцип пенсионного обеспечения военнослужащих - осуществление его на условиях, по нормам и в порядке, установленным законодательством государств, на территории которых они проживают. Следовательно, назначение пенсии военнослужащему производится, во-первых, при увольнении с военной службы государством, где военнослужащий постоянно проживает, во-вторых, на основании законодательства этого государства. </w:t>
      </w:r>
      <w:r>
        <w:br/>
      </w:r>
      <w:r>
        <w:rPr>
          <w:rFonts w:ascii="Times New Roman"/>
          <w:b w:val="false"/>
          <w:i w:val="false"/>
          <w:color w:val="000000"/>
          <w:sz w:val="28"/>
        </w:rPr>
        <w:t>
 </w:t>
      </w:r>
    </w:p>
    <w:bookmarkEnd w:id="7"/>
    <w:bookmarkStart w:name="z16" w:id="8"/>
    <w:p>
      <w:pPr>
        <w:spacing w:after="0"/>
        <w:ind w:left="0"/>
        <w:jc w:val="both"/>
      </w:pPr>
      <w:r>
        <w:rPr>
          <w:rFonts w:ascii="Times New Roman"/>
          <w:b w:val="false"/>
          <w:i w:val="false"/>
          <w:color w:val="000000"/>
          <w:sz w:val="28"/>
        </w:rPr>
        <w:t xml:space="preserve">
      Однако, следуя общему принципу, закрепленному в пункте 2 статьи 6 Соглашения от 13 марта 1992 года, часть первая статьи 2 Соглашения от 15 мая 1992 года установила обязанность государств, осуществляющих назначение пенсии военнослужащим, засчитывать в выслугу лет службу в другом государстве, в том числе на льготных условиях. При этом отсылка к статье 1 Соглашения от 15 мая 1992 года, предусмотренная частью первой статьи 2, означает, что зачету подлежит служба в вооруженных силах государств-участников Содружества и других воинских формированиях, созданных законодательными органами этих государств, в Объединенных Вооруженных Силах Содружества, в Вооруженных Силах и иных воинских формированиях бывшего Союза ССР. </w:t>
      </w:r>
      <w:r>
        <w:br/>
      </w:r>
      <w:r>
        <w:rPr>
          <w:rFonts w:ascii="Times New Roman"/>
          <w:b w:val="false"/>
          <w:i w:val="false"/>
          <w:color w:val="000000"/>
          <w:sz w:val="28"/>
        </w:rPr>
        <w:t>
 </w:t>
      </w:r>
    </w:p>
    <w:bookmarkEnd w:id="8"/>
    <w:bookmarkStart w:name="z17" w:id="9"/>
    <w:p>
      <w:pPr>
        <w:spacing w:after="0"/>
        <w:ind w:left="0"/>
        <w:jc w:val="both"/>
      </w:pPr>
      <w:r>
        <w:rPr>
          <w:rFonts w:ascii="Times New Roman"/>
          <w:b w:val="false"/>
          <w:i w:val="false"/>
          <w:color w:val="000000"/>
          <w:sz w:val="28"/>
        </w:rPr>
        <w:t xml:space="preserve">
      Толкование части первой статьи 2 Соглашения от 15 мая 1992 года предполагает выяснение содержания применяемых в Соглашении терминов. </w:t>
      </w:r>
      <w:r>
        <w:br/>
      </w:r>
      <w:r>
        <w:rPr>
          <w:rFonts w:ascii="Times New Roman"/>
          <w:b w:val="false"/>
          <w:i w:val="false"/>
          <w:color w:val="000000"/>
          <w:sz w:val="28"/>
        </w:rPr>
        <w:t>
 </w:t>
      </w:r>
    </w:p>
    <w:bookmarkEnd w:id="9"/>
    <w:bookmarkStart w:name="z18" w:id="10"/>
    <w:p>
      <w:pPr>
        <w:spacing w:after="0"/>
        <w:ind w:left="0"/>
        <w:jc w:val="both"/>
      </w:pPr>
      <w:r>
        <w:rPr>
          <w:rFonts w:ascii="Times New Roman"/>
          <w:b w:val="false"/>
          <w:i w:val="false"/>
          <w:color w:val="000000"/>
          <w:sz w:val="28"/>
        </w:rPr>
        <w:t xml:space="preserve">
      Законодательство о военной службе государств-участников Соглашения от 15 мая 1992 года относит к военнослужащим, имеющим право на пенсию за выслугу лет, граждан, проходящих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и других воинских формированиях, созданных в соответствии с законодательством государств-участников СНГ. </w:t>
      </w:r>
      <w:r>
        <w:br/>
      </w:r>
      <w:r>
        <w:rPr>
          <w:rFonts w:ascii="Times New Roman"/>
          <w:b w:val="false"/>
          <w:i w:val="false"/>
          <w:color w:val="000000"/>
          <w:sz w:val="28"/>
        </w:rPr>
        <w:t>
 </w:t>
      </w:r>
    </w:p>
    <w:bookmarkEnd w:id="10"/>
    <w:bookmarkStart w:name="z19" w:id="11"/>
    <w:p>
      <w:pPr>
        <w:spacing w:after="0"/>
        <w:ind w:left="0"/>
        <w:jc w:val="both"/>
      </w:pPr>
      <w:r>
        <w:rPr>
          <w:rFonts w:ascii="Times New Roman"/>
          <w:b w:val="false"/>
          <w:i w:val="false"/>
          <w:color w:val="000000"/>
          <w:sz w:val="28"/>
        </w:rPr>
        <w:t xml:space="preserve">
      К другим воинским формированиям государства-участники относят государственные военные организации, подчиненные, как правило, органам, в которых предусмотрена военная служба (подразделения внутренних и пограничных войск, транспортные войска, органы гражданской обороны и национальной безопасности, части республиканской гвардии и т.п.). </w:t>
      </w:r>
      <w:r>
        <w:br/>
      </w: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xml:space="preserve">
      Воинская служба в предусмотренных законодательством особых условиях (на летной работе в авиации; на воинских должностях, связанных с систематическим совершением прыжков с парашютом; на воинских должностях водолазов; на заставах, постах и в приравненных к ним подразделениях пограничных войск, несущих службу по охране государственной границы, и др.) предполагает льготное исчисление выслуги лет исходя из специфики условий, в которых военнослужащий проходит службу. </w:t>
      </w:r>
      <w:r>
        <w:br/>
      </w:r>
      <w:r>
        <w:rPr>
          <w:rFonts w:ascii="Times New Roman"/>
          <w:b w:val="false"/>
          <w:i w:val="false"/>
          <w:color w:val="000000"/>
          <w:sz w:val="28"/>
        </w:rPr>
        <w:t>
 </w:t>
      </w:r>
    </w:p>
    <w:bookmarkEnd w:id="12"/>
    <w:bookmarkStart w:name="z26" w:id="13"/>
    <w:p>
      <w:pPr>
        <w:spacing w:after="0"/>
        <w:ind w:left="0"/>
        <w:jc w:val="both"/>
      </w:pPr>
      <w:r>
        <w:rPr>
          <w:rFonts w:ascii="Times New Roman"/>
          <w:b w:val="false"/>
          <w:i w:val="false"/>
          <w:color w:val="000000"/>
          <w:sz w:val="28"/>
        </w:rPr>
        <w:t xml:space="preserve">
      Анализ нормативных правовых актов государств-участников Соглашения от 15 мая 1992 года, определяющих порядок исчисления выслуги лет для назначения пенсии военнослужащим, показал, что в выслугу лет включается не только воинская служба (в том числе на льготных условиях), но и иная трудовая деятельность военнослужащих, непосредственно к ней не относящаяся, например: служба в органах внутренних дел, подразделениях министерства по чрезвычайным ситуациям, органах уголовно-исполнительной системы на должностях офицерского, начальствующего и рядового состава. </w:t>
      </w:r>
      <w:r>
        <w:br/>
      </w:r>
      <w:r>
        <w:rPr>
          <w:rFonts w:ascii="Times New Roman"/>
          <w:b w:val="false"/>
          <w:i w:val="false"/>
          <w:color w:val="000000"/>
          <w:sz w:val="28"/>
        </w:rPr>
        <w:t>
 </w:t>
      </w:r>
    </w:p>
    <w:bookmarkEnd w:id="13"/>
    <w:bookmarkStart w:name="z6" w:id="14"/>
    <w:p>
      <w:pPr>
        <w:spacing w:after="0"/>
        <w:ind w:left="0"/>
        <w:jc w:val="both"/>
      </w:pPr>
      <w:r>
        <w:rPr>
          <w:rFonts w:ascii="Times New Roman"/>
          <w:b w:val="false"/>
          <w:i w:val="false"/>
          <w:color w:val="000000"/>
          <w:sz w:val="28"/>
        </w:rPr>
        <w:t xml:space="preserve">
      Так, в Республике Беларусь в выслугу лет военнослужащим засчитывается: время работы в суде или органах прокуратуры в должности судьи, прокурорского работника, принятым на военную службу и назначенным на должности судей, прокурорских работников в военные суды и военные прокуратуры; время их обучения в гражданских учреждениях, обеспечивающих получение высшего и среднего специального образования, но не более четырех лет учебы (абзац двадцать первый пункта 1, абзац первый пункта 2 Постановления Совета Министров Республики Беларусь от 5 июля 1993 года N 432). </w:t>
      </w:r>
      <w:r>
        <w:br/>
      </w:r>
      <w:r>
        <w:rPr>
          <w:rFonts w:ascii="Times New Roman"/>
          <w:b w:val="false"/>
          <w:i w:val="false"/>
          <w:color w:val="000000"/>
          <w:sz w:val="28"/>
        </w:rPr>
        <w:t>
 </w:t>
      </w:r>
    </w:p>
    <w:bookmarkEnd w:id="14"/>
    <w:bookmarkStart w:name="z8" w:id="15"/>
    <w:p>
      <w:pPr>
        <w:spacing w:after="0"/>
        <w:ind w:left="0"/>
        <w:jc w:val="both"/>
      </w:pPr>
      <w:r>
        <w:rPr>
          <w:rFonts w:ascii="Times New Roman"/>
          <w:b w:val="false"/>
          <w:i w:val="false"/>
          <w:color w:val="000000"/>
          <w:sz w:val="28"/>
        </w:rPr>
        <w:t xml:space="preserve">
      В Республике Узбекистан при призыве на действительную военную службу граждан, имеющих высшее юридическое образование и являющихся офицерами запаса, в срок военной службы включается: учеба в высшем и среднем учебном заведении; служба в органах национальной безопасности и внутренних дел, а также непрерывный стаж работы в судах, органах и учреждениях прокуратуры, юстиции, государственных и иных органах, работа в которых была связана с правоохранительной деятельностью (пункт 1 Постановления Кабинета Министров Республики Узбекистан от 8 февраля 1993 года N 66). </w:t>
      </w:r>
      <w:r>
        <w:br/>
      </w:r>
      <w:r>
        <w:rPr>
          <w:rFonts w:ascii="Times New Roman"/>
          <w:b w:val="false"/>
          <w:i w:val="false"/>
          <w:color w:val="000000"/>
          <w:sz w:val="28"/>
        </w:rPr>
        <w:t>
 </w:t>
      </w:r>
    </w:p>
    <w:bookmarkEnd w:id="15"/>
    <w:bookmarkStart w:name="z9" w:id="16"/>
    <w:p>
      <w:pPr>
        <w:spacing w:after="0"/>
        <w:ind w:left="0"/>
        <w:jc w:val="both"/>
      </w:pPr>
      <w:r>
        <w:rPr>
          <w:rFonts w:ascii="Times New Roman"/>
          <w:b w:val="false"/>
          <w:i w:val="false"/>
          <w:color w:val="000000"/>
          <w:sz w:val="28"/>
        </w:rPr>
        <w:t xml:space="preserve">
      В Республике Таджикистан в выслугу лет для назначения пенсии офицерам, призванным на военную службу из запаса, учитывают: время работы в органах прокуратуры Республики Таджикистан в качестве прокурорско-следственных работников, а также время работы в должности судьи; время обучения до определения на военную службу в гражданских высших и средних специальных образовательных учреждениях, в которых имелись отделения военной подготовки, - в пределах до пяти лет из расчета один год учебы за шесть месяцев службы (абзацы двадцатый, двадцать первый пункта 1, абзац первый пункта 2 Постановления Правительства Республики Таджикистан от 18 июля 1996 года N 332). Кроме того, в Республике Таджикистан для граждан, поступивших на военную службу в добровольном порядке, в срок военной службы для назначения пенсии засчитывается период их работы на гражданских должностях из расчета два года общего трудового стажа за один год военной службы при условии, что общая продолжительность военной службы составляет не менее десяти календарных лет (пункт 5 статьи 9 Закона Республики Таджикистан "О внесении изменений и дополнений в Закон Республики Таджикистан "О статусе военнослужащих" от 3 марта 2006 года N 155). </w:t>
      </w:r>
      <w:r>
        <w:br/>
      </w:r>
      <w:r>
        <w:rPr>
          <w:rFonts w:ascii="Times New Roman"/>
          <w:b w:val="false"/>
          <w:i w:val="false"/>
          <w:color w:val="000000"/>
          <w:sz w:val="28"/>
        </w:rPr>
        <w:t>
 </w:t>
      </w:r>
    </w:p>
    <w:bookmarkEnd w:id="16"/>
    <w:bookmarkStart w:name="z10" w:id="17"/>
    <w:p>
      <w:pPr>
        <w:spacing w:after="0"/>
        <w:ind w:left="0"/>
        <w:jc w:val="both"/>
      </w:pPr>
      <w:r>
        <w:rPr>
          <w:rFonts w:ascii="Times New Roman"/>
          <w:b w:val="false"/>
          <w:i w:val="false"/>
          <w:color w:val="000000"/>
          <w:sz w:val="28"/>
        </w:rPr>
        <w:t xml:space="preserve">
      В Кыргызской Республике в выслугу лет на военной службе для лиц офицерского состава, определенных на военную службу из запаса, включается: время обучения (в том числе заочно) в гражданских высших и средних специальных учебных заведениях на отделениях военной подготовки либо время обучения в гражданских вузах, из которых они были переведены для продолжения учебы в высшие учебно-военные заведения в пределах до пяти лет из расчета один год учебы за шесть месяцев службы (абзац первый пункта 2 Постановления Правительства Кыргызской Республики от 13 января 1995 года N 12). В выслугу лет военнослужащим также входит: время работы на государственных должностях работникам государственных органов и сотрудникам государственных организаций и учреждений, осуществляющим (осуществлявшим) свою деятельность в сфере обороны, безопасности и правопорядка; время работы медицинского персонала в системе здравоохранения, призванного из запаса в Вооруженные Силы Кыргызской Республики (абзац семнадцатый пункта 1 Постановления Правительства Кыргызской Республики от 13 января 1995 года N 12). </w:t>
      </w:r>
      <w:r>
        <w:br/>
      </w:r>
      <w:r>
        <w:rPr>
          <w:rFonts w:ascii="Times New Roman"/>
          <w:b w:val="false"/>
          <w:i w:val="false"/>
          <w:color w:val="000000"/>
          <w:sz w:val="28"/>
        </w:rPr>
        <w:t>
 </w:t>
      </w:r>
    </w:p>
    <w:bookmarkEnd w:id="17"/>
    <w:bookmarkStart w:name="z11" w:id="18"/>
    <w:p>
      <w:pPr>
        <w:spacing w:after="0"/>
        <w:ind w:left="0"/>
        <w:jc w:val="both"/>
      </w:pPr>
      <w:r>
        <w:rPr>
          <w:rFonts w:ascii="Times New Roman"/>
          <w:b w:val="false"/>
          <w:i w:val="false"/>
          <w:color w:val="000000"/>
          <w:sz w:val="28"/>
        </w:rPr>
        <w:t>
      В Республике Казахстан в выслугу лет для назначения пенсии военнослужащим засчитывается служба в подразделениях Комитета уголовно-исполнительной системы Министерства юстиции Республики Казахстан (подпункт 1 пункта 1  </w:t>
      </w:r>
      <w:r>
        <w:rPr>
          <w:rFonts w:ascii="Times New Roman"/>
          <w:b w:val="false"/>
          <w:i w:val="false"/>
          <w:color w:val="000000"/>
          <w:sz w:val="28"/>
        </w:rPr>
        <w:t xml:space="preserve">статьи 60 </w:t>
      </w:r>
      <w:r>
        <w:rPr>
          <w:rFonts w:ascii="Times New Roman"/>
          <w:b w:val="false"/>
          <w:i w:val="false"/>
          <w:color w:val="000000"/>
          <w:sz w:val="28"/>
        </w:rPr>
        <w:t xml:space="preserve">Закона Республики Казахстан "О пенсионном обеспечении в Республике Казахстан" от 20 июня 1997 года N 136-1). </w:t>
      </w:r>
      <w:r>
        <w:br/>
      </w:r>
      <w:r>
        <w:rPr>
          <w:rFonts w:ascii="Times New Roman"/>
          <w:b w:val="false"/>
          <w:i w:val="false"/>
          <w:color w:val="000000"/>
          <w:sz w:val="28"/>
        </w:rPr>
        <w:t>
 </w:t>
      </w:r>
    </w:p>
    <w:bookmarkEnd w:id="18"/>
    <w:bookmarkStart w:name="z12" w:id="19"/>
    <w:p>
      <w:pPr>
        <w:spacing w:after="0"/>
        <w:ind w:left="0"/>
        <w:jc w:val="both"/>
      </w:pPr>
      <w:r>
        <w:rPr>
          <w:rFonts w:ascii="Times New Roman"/>
          <w:b w:val="false"/>
          <w:i w:val="false"/>
          <w:color w:val="000000"/>
          <w:sz w:val="28"/>
        </w:rPr>
        <w:t xml:space="preserve">
      Согласно пункту 2 Постановления Кабинета Министров Украины от 17 июля 1992 года N 393 в выслугу лет лицам офицерского состава засчитывается время их учебы (независимо от формы учебы) в гражданских высших учебных заведениях, а также в других учебных заведениях, по окончании которых присваивается офицерское (специальное) звание в пределах до пяти лет из расчета один год учебы за шесть месяцев службы. </w:t>
      </w:r>
      <w:r>
        <w:br/>
      </w:r>
      <w:r>
        <w:rPr>
          <w:rFonts w:ascii="Times New Roman"/>
          <w:b w:val="false"/>
          <w:i w:val="false"/>
          <w:color w:val="000000"/>
          <w:sz w:val="28"/>
        </w:rPr>
        <w:t>
 </w:t>
      </w:r>
    </w:p>
    <w:bookmarkEnd w:id="19"/>
    <w:bookmarkStart w:name="z33" w:id="20"/>
    <w:p>
      <w:pPr>
        <w:spacing w:after="0"/>
        <w:ind w:left="0"/>
        <w:jc w:val="both"/>
      </w:pPr>
      <w:r>
        <w:rPr>
          <w:rFonts w:ascii="Times New Roman"/>
          <w:b w:val="false"/>
          <w:i w:val="false"/>
          <w:color w:val="000000"/>
          <w:sz w:val="28"/>
        </w:rPr>
        <w:t xml:space="preserve">
      В соответствии с пунктом ж) части первой статьи 17 Закона Украины "О внесении изменений в некоторые законы Украины по вопросам пенсионного обеспечения и социальной защиты военнослужащих" от 4 апреля 2006 года в выслугу лет для назначения пенсии военнослужащим засчитывается время работы в судебных органах и органах прокуратуры лиц, работавших на должностях судей, прокуроров, следователей и находящихся на военной службе. </w:t>
      </w:r>
      <w:r>
        <w:br/>
      </w:r>
      <w:r>
        <w:rPr>
          <w:rFonts w:ascii="Times New Roman"/>
          <w:b w:val="false"/>
          <w:i w:val="false"/>
          <w:color w:val="000000"/>
          <w:sz w:val="28"/>
        </w:rPr>
        <w:t>
 </w:t>
      </w:r>
    </w:p>
    <w:bookmarkEnd w:id="20"/>
    <w:bookmarkStart w:name="z34" w:id="21"/>
    <w:p>
      <w:pPr>
        <w:spacing w:after="0"/>
        <w:ind w:left="0"/>
        <w:jc w:val="both"/>
      </w:pPr>
      <w:r>
        <w:rPr>
          <w:rFonts w:ascii="Times New Roman"/>
          <w:b w:val="false"/>
          <w:i w:val="false"/>
          <w:color w:val="000000"/>
          <w:sz w:val="28"/>
        </w:rPr>
        <w:t xml:space="preserve">
      Следовательно, государство места постоянного жительства военнослужащего, уволенного с военной службы, при назначении ему пенсии руководствуется своим законодательством и включает в расчет выслуги лет наряду с военной службой периоды, не связанные с военной службой, предусмотренные этим законодательством. Кроме того, в соответствии с частью первой статьи 2 Соглашения от 15 мая 1992 года государство, назначающее пенсию, учитывает военную службу (в том числе на льготных условиях) в другом государстве-участнике настоящего Соглашения. Суд считает, что определенная в таком порядке при назначении пенсии выслуга лет военнослужащего пересмотру не подлежит. </w:t>
      </w:r>
      <w:r>
        <w:br/>
      </w:r>
      <w:r>
        <w:rPr>
          <w:rFonts w:ascii="Times New Roman"/>
          <w:b w:val="false"/>
          <w:i w:val="false"/>
          <w:color w:val="000000"/>
          <w:sz w:val="28"/>
        </w:rPr>
        <w:t>
 </w:t>
      </w:r>
    </w:p>
    <w:bookmarkEnd w:id="21"/>
    <w:bookmarkStart w:name="z35" w:id="22"/>
    <w:p>
      <w:pPr>
        <w:spacing w:after="0"/>
        <w:ind w:left="0"/>
        <w:jc w:val="both"/>
      </w:pPr>
      <w:r>
        <w:rPr>
          <w:rFonts w:ascii="Times New Roman"/>
          <w:b w:val="false"/>
          <w:i w:val="false"/>
          <w:color w:val="000000"/>
          <w:sz w:val="28"/>
        </w:rPr>
        <w:t xml:space="preserve">
      Анализ Соглашения от 14 февраля 1992 года, Соглашения от 13 марта 1992 года и Соглашения от 15 мая 1992 года показал, что в них отсутствуют нормы, предусматривающие возможность изменения выслуги лет, в том числе при переезде военнослужащего, уволенного с военной службы, на постоянное место жительства в другое государство-участник Соглашения от 15 мая 1992 года. Перерасчет выслуги лет противоречил бы принципам и нормам, закрепленным в Соглашении от 14 февраля 1992 года. </w:t>
      </w:r>
      <w:r>
        <w:br/>
      </w:r>
      <w:r>
        <w:rPr>
          <w:rFonts w:ascii="Times New Roman"/>
          <w:b w:val="false"/>
          <w:i w:val="false"/>
          <w:color w:val="000000"/>
          <w:sz w:val="28"/>
        </w:rPr>
        <w:t>
 </w:t>
      </w:r>
    </w:p>
    <w:bookmarkEnd w:id="22"/>
    <w:bookmarkStart w:name="z36" w:id="23"/>
    <w:p>
      <w:pPr>
        <w:spacing w:after="0"/>
        <w:ind w:left="0"/>
        <w:jc w:val="both"/>
      </w:pPr>
      <w:r>
        <w:rPr>
          <w:rFonts w:ascii="Times New Roman"/>
          <w:b w:val="false"/>
          <w:i w:val="false"/>
          <w:color w:val="000000"/>
          <w:sz w:val="28"/>
        </w:rPr>
        <w:t xml:space="preserve">
      В соответствии с преамбулой и статьей 2 Соглашения от 14 февраля 1992 года государства-участники гарантировали военнослужащим, лицам, уволенным с военной службы, обеспечение всей полноты их политических, социально-экономических и личных прав и свобод, в том числе право получать пенсию, установленную законодательством. Указанным лицам было предоставлено право: перевестись для прохождения военной службы или уволиться в запас (отставку) из одного государства Содружества в другое, а после увольнения со службы - принять гражданство государства пребывания; остаться на постоянное жительство на его территории или избрать другое место жительства. Реализация указанных прав и свобод временными рамками не ограничивается. </w:t>
      </w:r>
      <w:r>
        <w:br/>
      </w:r>
      <w:r>
        <w:rPr>
          <w:rFonts w:ascii="Times New Roman"/>
          <w:b w:val="false"/>
          <w:i w:val="false"/>
          <w:color w:val="000000"/>
          <w:sz w:val="28"/>
        </w:rPr>
        <w:t>
 </w:t>
      </w:r>
    </w:p>
    <w:bookmarkEnd w:id="23"/>
    <w:bookmarkStart w:name="z37" w:id="24"/>
    <w:p>
      <w:pPr>
        <w:spacing w:after="0"/>
        <w:ind w:left="0"/>
        <w:jc w:val="both"/>
      </w:pPr>
      <w:r>
        <w:rPr>
          <w:rFonts w:ascii="Times New Roman"/>
          <w:b w:val="false"/>
          <w:i w:val="false"/>
          <w:color w:val="000000"/>
          <w:sz w:val="28"/>
        </w:rPr>
        <w:t xml:space="preserve">
      Вывод о том, что при переезде военнослужащего, которому уже назначена пенсия, выслуга лет, определенная на момент назначения ему пенсии, не пересчитывается, подтверждается также практикой государств Содружества. </w:t>
      </w:r>
      <w:r>
        <w:br/>
      </w:r>
      <w:r>
        <w:rPr>
          <w:rFonts w:ascii="Times New Roman"/>
          <w:b w:val="false"/>
          <w:i w:val="false"/>
          <w:color w:val="000000"/>
          <w:sz w:val="28"/>
        </w:rPr>
        <w:t>
 </w:t>
      </w:r>
    </w:p>
    <w:bookmarkEnd w:id="24"/>
    <w:bookmarkStart w:name="z21" w:id="25"/>
    <w:p>
      <w:pPr>
        <w:spacing w:after="0"/>
        <w:ind w:left="0"/>
        <w:jc w:val="both"/>
      </w:pPr>
      <w:r>
        <w:rPr>
          <w:rFonts w:ascii="Times New Roman"/>
          <w:b w:val="false"/>
          <w:i w:val="false"/>
          <w:color w:val="000000"/>
          <w:sz w:val="28"/>
        </w:rPr>
        <w:t xml:space="preserve">
      Так, Министерство обороны Республики Казахстан (исх. N 16 от 4 января 2007 года) сообщило, что в Республике Казахстан "при определении права на пенсию лицам из числа бывших военнослужащих, прибывших на постоянное место жительства в Республику Казахстан из государств Содружества, принимается расчет выслуги лет (в том числе на льготных условиях), составленный в порядке, установленном законодательством государств-участников, на территории которых военнослужащие проходили службу". </w:t>
      </w:r>
      <w:r>
        <w:br/>
      </w:r>
      <w:r>
        <w:rPr>
          <w:rFonts w:ascii="Times New Roman"/>
          <w:b w:val="false"/>
          <w:i w:val="false"/>
          <w:color w:val="000000"/>
          <w:sz w:val="28"/>
        </w:rPr>
        <w:t>
 </w:t>
      </w:r>
    </w:p>
    <w:bookmarkEnd w:id="25"/>
    <w:bookmarkStart w:name="z22" w:id="26"/>
    <w:p>
      <w:pPr>
        <w:spacing w:after="0"/>
        <w:ind w:left="0"/>
        <w:jc w:val="both"/>
      </w:pPr>
      <w:r>
        <w:rPr>
          <w:rFonts w:ascii="Times New Roman"/>
          <w:b w:val="false"/>
          <w:i w:val="false"/>
          <w:color w:val="000000"/>
          <w:sz w:val="28"/>
        </w:rPr>
        <w:t xml:space="preserve">
      Из письма Министерства обороны Республики Таджикистан (исх. N 14/29 от 8 января 2007 года) следует, что перерасчет выслуги лет, исчисленной в государстве-участнике Соглашения от 15 мая 1992 года, где военнослужащий проходил службу, пенсионными органами Министерства обороны Республики Таджикистан не производится. </w:t>
      </w:r>
      <w:r>
        <w:br/>
      </w:r>
      <w:r>
        <w:rPr>
          <w:rFonts w:ascii="Times New Roman"/>
          <w:b w:val="false"/>
          <w:i w:val="false"/>
          <w:color w:val="000000"/>
          <w:sz w:val="28"/>
        </w:rPr>
        <w:t>
 </w:t>
      </w:r>
    </w:p>
    <w:bookmarkEnd w:id="26"/>
    <w:bookmarkStart w:name="z23" w:id="27"/>
    <w:p>
      <w:pPr>
        <w:spacing w:after="0"/>
        <w:ind w:left="0"/>
        <w:jc w:val="both"/>
      </w:pPr>
      <w:r>
        <w:rPr>
          <w:rFonts w:ascii="Times New Roman"/>
          <w:b w:val="false"/>
          <w:i w:val="false"/>
          <w:color w:val="000000"/>
          <w:sz w:val="28"/>
        </w:rPr>
        <w:t xml:space="preserve">
      Согласно сообщению Министерства обороны Кыргызской Республики (исх. N 30/2293 от 29 декабря 2006 года), расчет выслуги лет, исчисленной военнослужащему государством-участником Соглашения от 15 мая 1992 года, где он проходил службу, в Кыргызской Республике не пересматривается. </w:t>
      </w:r>
      <w:r>
        <w:br/>
      </w:r>
      <w:r>
        <w:rPr>
          <w:rFonts w:ascii="Times New Roman"/>
          <w:b w:val="false"/>
          <w:i w:val="false"/>
          <w:color w:val="000000"/>
          <w:sz w:val="28"/>
        </w:rPr>
        <w:t>
 </w:t>
      </w:r>
    </w:p>
    <w:bookmarkEnd w:id="27"/>
    <w:bookmarkStart w:name="z24" w:id="28"/>
    <w:p>
      <w:pPr>
        <w:spacing w:after="0"/>
        <w:ind w:left="0"/>
        <w:jc w:val="both"/>
      </w:pPr>
      <w:r>
        <w:rPr>
          <w:rFonts w:ascii="Times New Roman"/>
          <w:b w:val="false"/>
          <w:i w:val="false"/>
          <w:color w:val="000000"/>
          <w:sz w:val="28"/>
        </w:rPr>
        <w:t xml:space="preserve">
      По информации, поступившей из Министерства обороны Украины (исх. N 220/119 от 13 января 2007 года), при назначении пенсии бывшим военнослужащим перерасчет выслуги лет, исчисленной в государстве-участнике Соглашения от 15 мая 1992 года, в котором они проходили военную службу, в случае их переезда на постоянное место жительства в Украину не производится. </w:t>
      </w:r>
      <w:r>
        <w:br/>
      </w:r>
      <w:r>
        <w:rPr>
          <w:rFonts w:ascii="Times New Roman"/>
          <w:b w:val="false"/>
          <w:i w:val="false"/>
          <w:color w:val="000000"/>
          <w:sz w:val="28"/>
        </w:rPr>
        <w:t>
 </w:t>
      </w:r>
    </w:p>
    <w:bookmarkEnd w:id="28"/>
    <w:bookmarkStart w:name="z25" w:id="29"/>
    <w:p>
      <w:pPr>
        <w:spacing w:after="0"/>
        <w:ind w:left="0"/>
        <w:jc w:val="both"/>
      </w:pPr>
      <w:r>
        <w:rPr>
          <w:rFonts w:ascii="Times New Roman"/>
          <w:b w:val="false"/>
          <w:i w:val="false"/>
          <w:color w:val="000000"/>
          <w:sz w:val="28"/>
        </w:rPr>
        <w:t xml:space="preserve">
      Норма, не допускающая перерасчет выслуги лет военнослужащему, прибывшему из другого государства, содержится в законодательстве Республики Беларусь. Так, в соответствии с пунктом 9 Постановления Совета Министров Республики Беларусь от 5 июля 1993 года N 432 "военнослужащим государств-участников СНГ, уволенным на пенсию и прибывшим на постоянное место жительства в Республику Беларусь, выслуга лет, в том числе на льготных условиях, для назначения пенсий исчисляется соответствующими подразделениями министерств и ведомств этих стран по их действующему законодательству и перерасчету не подлежит". </w:t>
      </w:r>
      <w:r>
        <w:br/>
      </w:r>
      <w:r>
        <w:rPr>
          <w:rFonts w:ascii="Times New Roman"/>
          <w:b w:val="false"/>
          <w:i w:val="false"/>
          <w:color w:val="000000"/>
          <w:sz w:val="28"/>
        </w:rPr>
        <w:t>
 </w:t>
      </w:r>
    </w:p>
    <w:bookmarkEnd w:id="29"/>
    <w:bookmarkStart w:name="z27" w:id="30"/>
    <w:p>
      <w:pPr>
        <w:spacing w:after="0"/>
        <w:ind w:left="0"/>
        <w:jc w:val="both"/>
      </w:pPr>
      <w:r>
        <w:rPr>
          <w:rFonts w:ascii="Times New Roman"/>
          <w:b w:val="false"/>
          <w:i w:val="false"/>
          <w:color w:val="000000"/>
          <w:sz w:val="28"/>
        </w:rPr>
        <w:t xml:space="preserve">
      Опираясь на проведенное исследование норм соглашений, касающихся социального обеспечения военнослужащих и других категорий граждан, положения национального законодательства государств-участников Соглашения от 15 мая 1992 года и другие материалы дела, Экономический Суд приходит к выводу, что пересмотр выслуги лет, определенной в государстве, где пенсия военнослужащему была назначена, повлечет нарушение его прав на пенсионное обеспечение и тем самым может воспрепятствовать реализации прав и свобод, зафиксированных в Соглашении от 14 февраля 1992 года и Соглашении от 13 марта 1992 года. </w:t>
      </w:r>
      <w:r>
        <w:br/>
      </w:r>
      <w:r>
        <w:rPr>
          <w:rFonts w:ascii="Times New Roman"/>
          <w:b w:val="false"/>
          <w:i w:val="false"/>
          <w:color w:val="000000"/>
          <w:sz w:val="28"/>
        </w:rPr>
        <w:t>
 </w:t>
      </w:r>
    </w:p>
    <w:bookmarkEnd w:id="30"/>
    <w:bookmarkStart w:name="z28" w:id="31"/>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и  </w:t>
      </w:r>
      <w:r>
        <w:rPr>
          <w:rFonts w:ascii="Times New Roman"/>
          <w:b w:val="false"/>
          <w:i w:val="false"/>
          <w:color w:val="000000"/>
          <w:sz w:val="28"/>
        </w:rPr>
        <w:t xml:space="preserve">16  </w:t>
      </w:r>
      <w:r>
        <w:rPr>
          <w:rFonts w:ascii="Times New Roman"/>
          <w:b w:val="false"/>
          <w:i w:val="false"/>
          <w:color w:val="000000"/>
          <w:sz w:val="28"/>
        </w:rPr>
        <w:t>Положения об Экономическом Суде СНГ, а также  </w:t>
      </w:r>
      <w:r>
        <w:rPr>
          <w:rFonts w:ascii="Times New Roman"/>
          <w:b w:val="false"/>
          <w:i w:val="false"/>
          <w:color w:val="000000"/>
          <w:sz w:val="28"/>
        </w:rPr>
        <w:t xml:space="preserve">пунктами 143 </w:t>
      </w:r>
      <w:r>
        <w:rPr>
          <w:rFonts w:ascii="Times New Roman"/>
          <w:b w:val="false"/>
          <w:i w:val="false"/>
          <w:color w:val="000000"/>
          <w:sz w:val="28"/>
        </w:rPr>
        <w:t>и  </w:t>
      </w:r>
      <w:r>
        <w:rPr>
          <w:rFonts w:ascii="Times New Roman"/>
          <w:b w:val="false"/>
          <w:i w:val="false"/>
          <w:color w:val="000000"/>
          <w:sz w:val="28"/>
        </w:rPr>
        <w:t xml:space="preserve">148 </w:t>
      </w:r>
      <w:r>
        <w:rPr>
          <w:rFonts w:ascii="Times New Roman"/>
          <w:b w:val="false"/>
          <w:i w:val="false"/>
          <w:color w:val="000000"/>
          <w:sz w:val="28"/>
        </w:rPr>
        <w:t xml:space="preserve">Регламента Экономического Суда СНГ, Экономический Суд Содружества Независимых Государств </w:t>
      </w:r>
    </w:p>
    <w:bookmarkEnd w:id="31"/>
    <w:bookmarkStart w:name="z29" w:id="32"/>
    <w:p>
      <w:pPr>
        <w:spacing w:after="0"/>
        <w:ind w:left="0"/>
        <w:jc w:val="both"/>
      </w:pPr>
      <w:r>
        <w:rPr>
          <w:rFonts w:ascii="Times New Roman"/>
          <w:b w:val="false"/>
          <w:i w:val="false"/>
          <w:color w:val="000000"/>
          <w:sz w:val="28"/>
        </w:rPr>
        <w:t>
</w:t>
      </w:r>
      <w:r>
        <w:rPr>
          <w:rFonts w:ascii="Times New Roman"/>
          <w:b/>
          <w:i w:val="false"/>
          <w:color w:val="000000"/>
          <w:sz w:val="28"/>
        </w:rPr>
        <w:t xml:space="preserve">       РЕШИЛ: </w:t>
      </w:r>
    </w:p>
    <w:bookmarkEnd w:id="32"/>
    <w:p>
      <w:pPr>
        <w:spacing w:after="0"/>
        <w:ind w:left="0"/>
        <w:jc w:val="both"/>
      </w:pPr>
      <w:r>
        <w:rPr>
          <w:rFonts w:ascii="Times New Roman"/>
          <w:b w:val="false"/>
          <w:i w:val="false"/>
          <w:color w:val="000000"/>
          <w:sz w:val="28"/>
        </w:rPr>
        <w:t xml:space="preserve">      Дать по запросу Совета министров обороны государств-участников СНГ следующее толкование нормы части первой статьи 2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xml:space="preserve">
      1. Выслуга лет, исчисленная при назначении пенсии, в том числе на льготных условиях, по месту прохождения службы в одном из государств-участников Соглашения от 15 мая 1992 года военнослужащему, уволенному с военной службы и переехавшему на постоянное место жительства в другое государство-участник, перерасчету по новому месту жительства не подлежит. </w:t>
      </w:r>
      <w:r>
        <w:br/>
      </w:r>
      <w:r>
        <w:rPr>
          <w:rFonts w:ascii="Times New Roman"/>
          <w:b w:val="false"/>
          <w:i w:val="false"/>
          <w:color w:val="000000"/>
          <w:sz w:val="28"/>
        </w:rPr>
        <w:t xml:space="preserve">
      В расчет выслуги лет для назначения пенсии включаются также периоды, не связанные с военной службой (учеба в гражданских учреждениях образования, служба в органах внутренних дел, прокуратуры и др.), если это предусмотрено законодательством государства-участника, в котором военнослужащий проходил военную службу и ему назначена пенсия. </w:t>
      </w:r>
      <w:r>
        <w:br/>
      </w:r>
      <w:r>
        <w:rPr>
          <w:rFonts w:ascii="Times New Roman"/>
          <w:b w:val="false"/>
          <w:i w:val="false"/>
          <w:color w:val="000000"/>
          <w:sz w:val="28"/>
        </w:rPr>
        <w:t>
 </w:t>
      </w:r>
    </w:p>
    <w:bookmarkEnd w:id="33"/>
    <w:bookmarkStart w:name="z31" w:id="34"/>
    <w:p>
      <w:pPr>
        <w:spacing w:after="0"/>
        <w:ind w:left="0"/>
        <w:jc w:val="both"/>
      </w:pPr>
      <w:r>
        <w:rPr>
          <w:rFonts w:ascii="Times New Roman"/>
          <w:b w:val="false"/>
          <w:i w:val="false"/>
          <w:color w:val="000000"/>
          <w:sz w:val="28"/>
        </w:rPr>
        <w:t xml:space="preserve">
      2. Решение окончательное и обжалованию не подлежит. </w:t>
      </w:r>
      <w:r>
        <w:br/>
      </w:r>
      <w:r>
        <w:rPr>
          <w:rFonts w:ascii="Times New Roman"/>
          <w:b w:val="false"/>
          <w:i w:val="false"/>
          <w:color w:val="000000"/>
          <w:sz w:val="28"/>
        </w:rPr>
        <w:t>
 </w:t>
      </w:r>
    </w:p>
    <w:bookmarkEnd w:id="34"/>
    <w:bookmarkStart w:name="z32" w:id="35"/>
    <w:p>
      <w:pPr>
        <w:spacing w:after="0"/>
        <w:ind w:left="0"/>
        <w:jc w:val="both"/>
      </w:pPr>
      <w:r>
        <w:rPr>
          <w:rFonts w:ascii="Times New Roman"/>
          <w:b w:val="false"/>
          <w:i w:val="false"/>
          <w:color w:val="000000"/>
          <w:sz w:val="28"/>
        </w:rPr>
        <w:t xml:space="preserve">
      3. Копию решения направить Совету министров обороны государств-участников СНГ, правительствам государств-участников СНГ, министерствам обороны государств-участников СНГ и для сведения - Исполнительному комитету СНГ. </w:t>
      </w:r>
      <w:r>
        <w:br/>
      </w:r>
      <w:r>
        <w:rPr>
          <w:rFonts w:ascii="Times New Roman"/>
          <w:b w:val="false"/>
          <w:i w:val="false"/>
          <w:color w:val="000000"/>
          <w:sz w:val="28"/>
        </w:rPr>
        <w:t>
 </w:t>
      </w:r>
    </w:p>
    <w:bookmarkEnd w:id="35"/>
    <w:bookmarkStart w:name="z38" w:id="36"/>
    <w:p>
      <w:pPr>
        <w:spacing w:after="0"/>
        <w:ind w:left="0"/>
        <w:jc w:val="both"/>
      </w:pPr>
      <w:r>
        <w:rPr>
          <w:rFonts w:ascii="Times New Roman"/>
          <w:b w:val="false"/>
          <w:i w:val="false"/>
          <w:color w:val="000000"/>
          <w:sz w:val="28"/>
        </w:rPr>
        <w:t>
      4.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36"/>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А.Ш. Керимбаева </w:t>
      </w:r>
    </w:p>
    <w:p>
      <w:pPr>
        <w:spacing w:after="0"/>
        <w:ind w:left="0"/>
        <w:jc w:val="both"/>
      </w:pPr>
      <w:r>
        <w:rPr>
          <w:rFonts w:ascii="Times New Roman"/>
          <w:b w:val="false"/>
          <w:i w:val="false"/>
          <w:color w:val="000000"/>
          <w:sz w:val="28"/>
        </w:rPr>
        <w:t xml:space="preserve">      Верно: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