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79c8" w14:textId="d307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внесении изменения в Правила определения страны происхождения товаров, утвержденные Решением Совета глав правительств СНГ от 30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25 мая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гармонизации и совершенствования внешнеэкономической деятельности государств-участников Содружества Независимых Государств, подписавших Решение Совета глав правительств СНГ от 30 ноября 2000 года о Правилах определения страны происхождения товаров и Решение Экономического совета СНГ от 3 декабря 2004 года о внесении изменений в указанные Правила, Совет глав правительств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Изложить графу 9 пункта 12 Правил определения страны происхождения товаров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9 - "Критерий происхождения". Указываются следующие критерии происхождения товаров: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"П" - товар, полностью произведенный в государстве-участнике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1701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 - товар, подвергнутый достаточной обработке/переработке, с указанием первых четырех цифр кода товарной позиции по ТН ВЭД СНГ конечной продукции, например - 1701;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"К" - товар, страна происхождения которого определена на основе кумулятивного принципа.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заявлены товары, классифицируемые в различных товарных позициях по ТН ВЭД СНГ и имеющие различные критерии происхождения, то в графе 9 указываются критерии происхождения дифференцированно для всех заявленных товаров;".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25 мая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