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eb20" w14:textId="ef7e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 толковании Соглашения о размене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23 марта 2001 года N 01-1/5-2000</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Каженова А.Б., </w:t>
      </w:r>
      <w:r>
        <w:br/>
      </w:r>
      <w:r>
        <w:rPr>
          <w:rFonts w:ascii="Times New Roman"/>
          <w:b w:val="false"/>
          <w:i w:val="false"/>
          <w:color w:val="000000"/>
          <w:sz w:val="28"/>
        </w:rPr>
        <w:t xml:space="preserve">
      судей Экономического Суда: Апостола Д., Вылкова И., Жороева К., Керимбаевой А.Ш., Махмудовой Л.Ш., Мирошник В.И., Симоняна Г.В., Толибова X., </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xml:space="preserve">
      с участием Генерального советника Экономического Суда Беловой Т.А., представителя Высшего Хозяйственного Суда Республики Беларусь Смирнова Е.А., </w:t>
      </w:r>
      <w:r>
        <w:br/>
      </w:r>
      <w:r>
        <w:rPr>
          <w:rFonts w:ascii="Times New Roman"/>
          <w:b w:val="false"/>
          <w:i w:val="false"/>
          <w:color w:val="000000"/>
          <w:sz w:val="28"/>
        </w:rPr>
        <w:t xml:space="preserve">
      рассмотрев в открытом судебном заседании дело по запросу Высшего Хозяйственного Суда Республики Беларусь о толковании, </w:t>
      </w:r>
    </w:p>
    <w:bookmarkEnd w:id="0"/>
    <w:bookmarkStart w:name="z2" w:id="1"/>
    <w:p>
      <w:pPr>
        <w:spacing w:after="0"/>
        <w:ind w:left="0"/>
        <w:jc w:val="left"/>
      </w:pPr>
      <w:r>
        <w:rPr>
          <w:rFonts w:ascii="Times New Roman"/>
          <w:b/>
          <w:i w:val="false"/>
          <w:color w:val="000000"/>
        </w:rPr>
        <w:t xml:space="preserve"> 
УСТАНОВИЛ : </w:t>
      </w:r>
    </w:p>
    <w:bookmarkEnd w:id="1"/>
    <w:p>
      <w:pPr>
        <w:spacing w:after="0"/>
        <w:ind w:left="0"/>
        <w:jc w:val="both"/>
      </w:pPr>
      <w:r>
        <w:rPr>
          <w:rFonts w:ascii="Times New Roman"/>
          <w:b w:val="false"/>
          <w:i w:val="false"/>
          <w:color w:val="000000"/>
          <w:sz w:val="28"/>
        </w:rPr>
        <w:t xml:space="preserve">      Высший Хозяйственный Суд Республики Беларусь обратился в Экономический Суд Содружества Независимых Государств с запросом о толковании применения статей 2 и 3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подписанного государствами-участниками Содружества Независимых Государств 24 декабря 1993 года.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Основанием для запроса послужило возвращение без рассмотрения Арбитражным судом Туркменистана исковых материалов субъекту хозяйствования Республики Беларусь в связи с уплатой последним государственной пошлины в рублях Российской Федерации, в то время как им было заявлено требование о взыскании денежной суммы в долларах США. По мнению Высшего Хозяйственного Суда Республики Беларусь, данный факт указывает на различия в понимании содержания статей 2 и 3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В связи с этим Высший Хозяйственный Суд Республики Беларусь просит разъяснить, в частности, применяется ли статья 3 Соглашения к сделкам, заключенным в свободно конвертируемой валюте, и возможна ли оплата субъектами хозяйствования государственной пошлины в рублях Российской Федерации при обращении в суды государств-участников Соглашения, если исковые требования предъявлены в свободно конвертируемой валюте.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Заслушав судью-докладчика Симоняна Г.В., представителя Высшего Хозяйственного Суда Республики Беларусь Смирнова Е.А., обсудив заключение Генерального советника Экономического Суда Беловой Т.А. и исследовав имеющиеся в деле документы, Экономический Суд пришел к следующим выводам.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подписано на заседании Совета глав государств Азербайджанской Республикой, Республикой Армения, Республикой Беларусь, Грузией, Республикой Казахстан, Кыргызской Республикой. Республикой Молдова, Российской Федерацией, Республикой Таджикистан, Туркменистаном и Республикой Узбекистан.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Участники Соглашения установили следующее. </w:t>
      </w:r>
      <w:r>
        <w:br/>
      </w:r>
      <w:r>
        <w:rPr>
          <w:rFonts w:ascii="Times New Roman"/>
          <w:b w:val="false"/>
          <w:i w:val="false"/>
          <w:color w:val="000000"/>
          <w:sz w:val="28"/>
        </w:rPr>
        <w:t xml:space="preserve">
      1. "В целях обеспечения равной возможности для судебной защиты законных прав и интересов при разрешении споров хозяйствующих субъектов, находящихся на территории разных государств, установить при обращении в суд другого государства ставку государственной пошлины в размере 10 процентов от суммы иска в валюте иска" (статья 2).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2. "Установить в качестве единого денежного эквивалента - рубль - при уплате госпошлины в судебно-арбитражные органы государств-участников Содружества. Курсы национальных валют к рублю определяются национальными банками государств-участников Содружества Независимых Государств.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Оплата государственной пошлины в судебно-арбитражные органы производится в национальной валюте государства нахождения суда либо в рублях Российской Федерации с пересчетом по курсам национальных валют, определяемым национальными банками государств-участников Содружества Независимых Государств.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Национальным банкам государств-участников Содружества обеспечить беспрепятственную оплату госпошлины и взыскание денежных сумм по решению арбитражных органов государств-участников Содружества Независимых Государств.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Контроль за исполнением решений возлагается на высшие судебно-арбитражные органы (хозяйственные суды) государств-должников" (статья 3).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Из содержания статьи 3 Соглашения от 24 декабря 1993 года видно, что она предусматривает возможность уплаты государственной пошлины при обращении в судебно-арбитражные органы государств-участников Содружества как в национальной валюте государства нахождения суда, так и в рублях Российской Федерации. Однако данная статья не дает ответа на вопрос, применяется ли этот порядок только при предъявлении иска в национальной валюте государств-участников Соглашения от 24 декабря 1993 года либо и в случаях предъявления иска в свободно конвертируемой валюте.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О различном, толковании статьи 3 судебно-арбитражными органами государств-участников Соглашения от 24 декабря 1993 года свидетельствуют и ответы, полученные от них на соответствующий запрос Экономического Суда.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Судебно-арбитражные органы Азербайджанской Республики, Туркменистана и Республики Узбекистан исходят из того, что при предъявлении иска в свободно конвертируемой валюте государственная пошлина должна оплачиваться в этой же валюте, и в таких случаях статья 3 Соглашения от 24 декабря 1993 года не применяется.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При обращении с исковыми требованиями, вытекающими из сделок, заключенных в свободно конвертируемой валюте, в арбитражные суды Кыргызской Республики оплата государственной пошлины производится как в национальной, так и в иностранной валюте.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При предъявлении иска о взыскании денежной суммы в свободно конвертируемой валюте хозяйственные суды Республики Беларусь принимают исковые заявления, оплаченные государственной пошлиной как в рублях Российской Федерации, так и в свободно конвертируемой валюте. Как полагает Высший Хозяйственный Суд Республики Беларусь, право выбора валюты, в которой оплачивается государственная пошлина в этих случаях, принадлежит истцу.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Высший Арбитражный Суд Российской Федерации утверждает, что в соответствии со статьей 3 Соглашения от 24 декабря 1993 года оплата государственной пошлины должна осуществляться в рублях Российской Федерации либо в национальной валюте государства суда независимо от того, в какой валюте предъявлен иск - в национальной, рублях Российской Федерации или в свободно конвертируемой валюте.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Возможность уплаты государственной пошлины в рублях Российской Федерации при предъявлении иска на основании статьи 3 Соглашения от 24 декабря 1993 года допускает также Высший экономический суд Республики Таджикистан.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Экономический Суд Республики Молдова в своем ответе указал, что при оплате государственной пошлины по спорам, вытекающим из любых сделок между субъектами хозяйствования государств-участников Содружества Независимых Государств, применяется национальное законодательство, а не Соглашение от 24 декабря 1993 года.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Суд при осуществлении толкования исходит из общих правил толкования договоров, предусмотренных  </w:t>
      </w:r>
      <w:r>
        <w:rPr>
          <w:rFonts w:ascii="Times New Roman"/>
          <w:b w:val="false"/>
          <w:i w:val="false"/>
          <w:color w:val="000000"/>
          <w:sz w:val="28"/>
        </w:rPr>
        <w:t xml:space="preserve">статьей 31 </w:t>
      </w:r>
      <w:r>
        <w:rPr>
          <w:rFonts w:ascii="Times New Roman"/>
          <w:b w:val="false"/>
          <w:i w:val="false"/>
          <w:color w:val="000000"/>
          <w:sz w:val="28"/>
        </w:rPr>
        <w:t xml:space="preserve">Венской конвенции о праве международных договоров от 23 мая 1969 года, требующей, чтобы договор толковался добросовестно в соответствии с обычным значением, которое следует придавать терминам договора в их контексте, а также в свете объекта и целей договора.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Экономический Суд считает, что при уяснении содержания термина "валюта иска" в контексте статей 2 и 3 Соглашения от 24 декабря 1993 года следует иметь в виду, что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заключено государствами-участниками Содружества Независимых Государств, которые ранее использовали в качестве единого платежного средства рубль, но, начиная с 1992 года ввели в обращение национальные валюты. Это потребовало координации их действий, в том числе в области осуществления правосудия. Эта цель и была достигнута подписанием Соглашения от 24 декабря 1993 года, в котором государства-участники признали необходимость единообразных подходов в осуществлении правосудия по хозяйственным спорам с целью обеспечения равной возможности для судебной защиты прав и интересов хозяйствующих субъектов на территории этих государств при разрешении споров (преамбула, статья 2 Соглашения).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Экономический Суд Содружества Независимых Государств полагает, что под валютой иска в контексте Соглашения от 24 декабря 1993 года следует понимать национальную валюту государств-участников данного Соглашения. Именно поэтому статья 3 Соглашения от 24 декабря 1993 года устанавливает рубль в качестве единого денежного эквивалента при уплате государственной пошлины по искам о взыскании денежных сумм в национальных валютах государств-участников.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Выводы Суда подтверждаются и тем, что статья 3 предусматривает конвертацию национальных валют в рубли Российской Федерации (иную валюту государств-участников данного Соглашения), но ничего не говорит о пересчете свободно конвертируемой валюты в национальную валюту государства нахождения суда либо в рубли Российской Федерации.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xml:space="preserve">
      Экономический Суд считает, что, если бы Соглашение от 24 декабря 1993 года имело целью урегулировать отношения по уплате государственной пошлины в рублях Российской Федерации, когда цена иска выражена в свободно конвертируемой валюте, то оно должно было бы содержать указание на соответствующий порядок пересчета. Этот пересчет должен был бы производиться с применением кросс-курса, то есть сумма государственной пошлины в свободно конвертируемой валюте сначала должна быть переведена в национальную валюту государства суда, а затем по курсу национальной валюты к рублю - в рубли Российской Федерации. Именно такой порядок должен быть применен по мнению Высшего Арбитражного Суда Российской Федерации. С учетом этого он полагает, что государственная пошлина по искам, цена которых определена в свободно конвертируемой валюте, может быть оплачена в соответствии со статьей 3 Соглашения от 24 декабря 1993 года в рублях Российской Федерации с учетом вышеуказанных правил пересчета.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Выводы Суда о том, что статья 3 Соглашения от 24 декабря 1993 года не должна применяться в случае уплаты государственной пошлины по иску, цена которого определена в свободно конвертируемой валюте, подтверждает и предлагаемое в проекте Протокола к Соглашению, одобренного Решением Совета глав правительств Содружества Независимых Государств от 20 ноября 2000 года, изменение редакции статьи 2 Соглашения, которое устанавливает рубль в качестве единого денежного эквивалента для расчета цены иска.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Исходя из вышеизложенного Суд приходит к выводу, что статья 3 Соглашения от 24 декабря 1993 года не применяется к сделкам, заключенным в свободно конвертируемой валюте.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Констатируя данный вывод, Экономический Суд СНГ вместе с тем отмечает, что практика хозяйственных отношений между субъектами хозяйствования государств-участников Соглашения от 24 декабря 1993 года показывает, что для обслуживания взаимных расчетов они все чаще используют в качестве платежного средства свободно конвертируемую валюту.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Поскольку Соглашение о создании Платежного союза государств-участников Содружества Независимых Государств от 21 октября 1994 года предусматривает право участников платежной системы использовать в качестве валюты платежа по их выбору национальные валюты Сторон или другие валюты (статья 4), следовательно, хозяйствующие субъекты государств-участников данного Соглашения не связаны необходимостью использовать для обслуживания взаимных расчетов только национальные валюты или российский рубль.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Так как отношения по уплате государственной пошлины при обращении в судебно-арбитражные органы государств-участников Соглашения от 24 декабря 1993 года не регулируются статьей 3 этого Соглашения, если цена иска установлена в свободно конвертируемой валюте, и поскольку никакого иного международного договора, регулирующего вопросы оплаты государственной пошлины в рамках государств-участников Содружества Независимых Государств нет, для решения вопроса о том, в какой валюте в этом случае должна уплачиваться государственная пошлина, следует применять национальное законодательство соответствующего государства.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В то же время Экономический Суд считает, что в целях обеспечения равного права субъектов хозяйствования государств-участников Соглашения от 24 декабря 1993 года на судебную защиту при обращении в суды этих государств необходимо обеспечить единообразное решение вопроса о размере и порядке уплаты государственной пошлины в случаях, когда цена иска определяется в свободно конвертируемой валюте.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На основании изложенного и руководствуясь  </w:t>
      </w:r>
      <w:r>
        <w:rPr>
          <w:rFonts w:ascii="Times New Roman"/>
          <w:b w:val="false"/>
          <w:i w:val="false"/>
          <w:color w:val="000000"/>
          <w:sz w:val="28"/>
        </w:rPr>
        <w:t xml:space="preserve">пунктами 5 </w:t>
      </w:r>
      <w:r>
        <w:rPr>
          <w:rFonts w:ascii="Times New Roman"/>
          <w:b w:val="false"/>
          <w:i w:val="false"/>
          <w:color w:val="000000"/>
          <w:sz w:val="28"/>
        </w:rPr>
        <w:t>и  </w:t>
      </w:r>
      <w:r>
        <w:rPr>
          <w:rFonts w:ascii="Times New Roman"/>
          <w:b w:val="false"/>
          <w:i w:val="false"/>
          <w:color w:val="000000"/>
          <w:sz w:val="28"/>
        </w:rPr>
        <w:t xml:space="preserve">16  </w:t>
      </w:r>
      <w:r>
        <w:rPr>
          <w:rFonts w:ascii="Times New Roman"/>
          <w:b w:val="false"/>
          <w:i w:val="false"/>
          <w:color w:val="000000"/>
          <w:sz w:val="28"/>
        </w:rPr>
        <w:t xml:space="preserve">Положения об Экономическом Суде Содружества Независимых Государств, а также пунктами 143 и 148 Регламента Экономического Суда Содружества Независимых Государств, Экономический Суд </w:t>
      </w:r>
    </w:p>
    <w:bookmarkEnd w:id="29"/>
    <w:bookmarkStart w:name="z31" w:id="30"/>
    <w:p>
      <w:pPr>
        <w:spacing w:after="0"/>
        <w:ind w:left="0"/>
        <w:jc w:val="left"/>
      </w:pPr>
      <w:r>
        <w:rPr>
          <w:rFonts w:ascii="Times New Roman"/>
          <w:b/>
          <w:i w:val="false"/>
          <w:color w:val="000000"/>
        </w:rPr>
        <w:t xml:space="preserve"> 
РЕШИЛ : </w:t>
      </w:r>
    </w:p>
    <w:bookmarkEnd w:id="30"/>
    <w:p>
      <w:pPr>
        <w:spacing w:after="0"/>
        <w:ind w:left="0"/>
        <w:jc w:val="both"/>
      </w:pPr>
      <w:r>
        <w:rPr>
          <w:rFonts w:ascii="Times New Roman"/>
          <w:b w:val="false"/>
          <w:i w:val="false"/>
          <w:color w:val="000000"/>
          <w:sz w:val="28"/>
        </w:rPr>
        <w:t xml:space="preserve">      По запросу Высшего Хозяйственного Суда Республики Беларусь дать следующее толкование. </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1. Статья 3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не применяется при оплате государственной пошлины по спорам, вытекающим из сделок, заключенных хозяйствующими субъектами государств-участников данного Соглашения в свободно конвертируемой валюте.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xml:space="preserve">
      2. При обращении хозяйствующих субъектов государств-участников данного Соглашения в судебно-арбитражные органы этих государств с исковыми требованиями, размер которых определен в свободно конвертируемой валюте, государственная пошлина уплачивается ими в соответствии с нормами национального законодательства государства нахождения суда, регулирующими порядок взимания государственной пошлины.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xml:space="preserve">
      3. Рекомендовать государствам-участникам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дополнить указанное Соглашение нормой об оплате государственной пошлины при заявлении в судебно-арбитражные органы государств-участников Соглашения требований, сумма по которым выражена в свободно конвертируемой валюте.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xml:space="preserve">
      4. Копию решения направить Высшему Хозяйственному Суду Республики Беларусь, Исполнительному комитету Содружества Независимых Государств, а также в высшие (верховные), хозяйственные (экономические, арбитражные) суды государств-участников Содружества Независимых Государств.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5. Опубликовать настоящее решение в изданиях Содружества и средствах массовой информации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 xml:space="preserve">о статусе Экономического Суда Содружества Независимых Государств от 6 июля 1992 года.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6. Решение окончательно и обжалованию не подлежит. </w:t>
      </w:r>
    </w:p>
    <w:bookmarkEnd w:id="36"/>
    <w:p>
      <w:pPr>
        <w:spacing w:after="0"/>
        <w:ind w:left="0"/>
        <w:jc w:val="both"/>
      </w:pPr>
      <w:r>
        <w:rPr>
          <w:rFonts w:ascii="Times New Roman"/>
          <w:b w:val="false"/>
          <w:i/>
          <w:color w:val="000000"/>
          <w:sz w:val="28"/>
        </w:rPr>
        <w:t xml:space="preserve">       Председатель </w:t>
      </w:r>
      <w:r>
        <w:rPr>
          <w:rFonts w:ascii="Times New Roman"/>
          <w:b w:val="false"/>
          <w:i/>
          <w:color w:val="000000"/>
          <w:sz w:val="28"/>
        </w:rPr>
        <w:t xml:space="preserve">                                А.Б. Каженов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