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7c68" w14:textId="6207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2025 года № 29-3 "Об утверждении бюджетов сельских округов Теректинского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марта 2026 года № 30-2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2025 года № 29-3 "Об утверждении бюджетов сельских округов Теректинского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- 18 755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Аксогумского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- 2 953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Аксуатского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- 31 400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Анкатинского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- 7 788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Құмаксай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21 043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- 21 043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113 869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- 58 987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Покатиловского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- 2 931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Узункульского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- 8 779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Теректі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32 164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- 32 164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- 21 047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Шагатайского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- 5 458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- 11 569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