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3563" w14:textId="fef3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Сарыоленскому сельскому округу Курчумского района на 2026-2030 годы</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18 июня 2026 года № 54/11-VIII</w:t>
      </w:r>
    </w:p>
    <w:p>
      <w:pPr>
        <w:spacing w:after="0"/>
        <w:ind w:left="0"/>
        <w:jc w:val="left"/>
      </w:pPr>
    </w:p>
    <w:p>
      <w:pPr>
        <w:spacing w:after="0"/>
        <w:ind w:left="0"/>
        <w:jc w:val="both"/>
      </w:pPr>
      <w:r>
        <w:rPr>
          <w:rFonts w:ascii="Times New Roman"/>
          <w:b w:val="false"/>
          <w:i w:val="false"/>
          <w:color w:val="000000"/>
          <w:sz w:val="28"/>
        </w:rPr>
        <w:t>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приказом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 Курчумский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Сарыоленскому сельскому округу Курчумского района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26 декабря 2023 года № 14/15-VIII "Об утверждении Плана по управлению пастбищами и их использованию по Сарыоленскому сельскому округу Курчумского района на 2023-2024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27 декабря 2021 года № 14/16-VII "Об утверждении Плана по управлению пастбищами и их использованию по Сарыоленскому сельскому округу на 2021-2022 годы".</w:t>
      </w:r>
    </w:p>
    <w:bookmarkStart w:name="z5" w:id="0"/>
    <w:p>
      <w:pPr>
        <w:spacing w:after="0"/>
        <w:ind w:left="0"/>
        <w:jc w:val="both"/>
      </w:pPr>
      <w:r>
        <w:rPr>
          <w:rFonts w:ascii="Times New Roman"/>
          <w:b w:val="false"/>
          <w:i w:val="false"/>
          <w:color w:val="000000"/>
          <w:sz w:val="28"/>
        </w:rPr>
        <w:t>
      4. Настоящее решение вступает в силу по истечении десяти календарных дней после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Курчумского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18 июня 2026 года</w:t>
            </w:r>
            <w:r>
              <w:br/>
            </w:r>
            <w:r>
              <w:rPr>
                <w:rFonts w:ascii="Times New Roman"/>
                <w:b w:val="false"/>
                <w:i w:val="false"/>
                <w:color w:val="000000"/>
                <w:sz w:val="20"/>
              </w:rPr>
              <w:t>№ 54/11-VIІI</w:t>
            </w:r>
          </w:p>
        </w:tc>
      </w:tr>
    </w:tbl>
    <w:bookmarkStart w:name="z7" w:id="1"/>
    <w:p>
      <w:pPr>
        <w:spacing w:after="0"/>
        <w:ind w:left="0"/>
        <w:jc w:val="left"/>
      </w:pPr>
      <w:r>
        <w:rPr>
          <w:rFonts w:ascii="Times New Roman"/>
          <w:b/>
          <w:i w:val="false"/>
          <w:color w:val="000000"/>
        </w:rPr>
        <w:t xml:space="preserve"> План по управлению пастбищами и их использованию по Сарыоленскому сельскому округу Курчумского района на 2026 - 2030 годы</w:t>
      </w:r>
    </w:p>
    <w:bookmarkEnd w:id="1"/>
    <w:p>
      <w:pPr>
        <w:spacing w:after="0"/>
        <w:ind w:left="0"/>
        <w:jc w:val="left"/>
      </w:pPr>
    </w:p>
    <w:p>
      <w:pPr>
        <w:spacing w:after="0"/>
        <w:ind w:left="0"/>
        <w:jc w:val="both"/>
      </w:pPr>
      <w:r>
        <w:rPr>
          <w:rFonts w:ascii="Times New Roman"/>
          <w:b w:val="false"/>
          <w:i w:val="false"/>
          <w:color w:val="000000"/>
          <w:sz w:val="28"/>
        </w:rPr>
        <w:t>
      1. Настоящий План по управлению пастбищами и их использованию по Сарыоленскому сельскому округу Курчумского района на 2026-2030 годы (далее - План) разработан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Приказом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w:t>
      </w:r>
    </w:p>
    <w:bookmarkStart w:name="z9" w:id="2"/>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
    <w:bookmarkStart w:name="z10" w:id="3"/>
    <w:p>
      <w:pPr>
        <w:spacing w:after="0"/>
        <w:ind w:left="0"/>
        <w:jc w:val="both"/>
      </w:pPr>
      <w:r>
        <w:rPr>
          <w:rFonts w:ascii="Times New Roman"/>
          <w:b w:val="false"/>
          <w:i w:val="false"/>
          <w:color w:val="000000"/>
          <w:sz w:val="28"/>
        </w:rPr>
        <w:t>
      3. При разработке Плана учитываются:</w:t>
      </w:r>
    </w:p>
    <w:bookmarkEnd w:id="3"/>
    <w:p>
      <w:pPr>
        <w:spacing w:after="0"/>
        <w:ind w:left="0"/>
        <w:jc w:val="both"/>
      </w:pPr>
      <w:r>
        <w:rPr>
          <w:rFonts w:ascii="Times New Roman"/>
          <w:b w:val="false"/>
          <w:i w:val="false"/>
          <w:color w:val="000000"/>
          <w:sz w:val="28"/>
        </w:rPr>
        <w:t xml:space="preserve">
      1) данные земельного баланса района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3) сведения о скотомогильниках (биометрических ямах), формируемые в соответствии с Правилами ведения реестра скотомогильников (биотермических ям),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6) данные о количестве гуртов, отар, табунов, сформированных по видам и половозрастным группам сельскохозяйственных животных по форме согласно таблице 2 приложения 4 к настоящему Плану;</w:t>
      </w:r>
    </w:p>
    <w:p>
      <w:pPr>
        <w:spacing w:after="0"/>
        <w:ind w:left="0"/>
        <w:jc w:val="both"/>
      </w:pPr>
      <w:r>
        <w:rPr>
          <w:rFonts w:ascii="Times New Roman"/>
          <w:b w:val="false"/>
          <w:i w:val="false"/>
          <w:color w:val="000000"/>
          <w:sz w:val="28"/>
        </w:rPr>
        <w:t>
      7)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(по Сарыоленскому сельскому округу Курчумского района отсутствуют в связи с отсутствием культурных и аридных пастбищ, а также отсутствием выпаса на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 (официальная статистическая информация по статистике животноводства предоставлена КГП на ПХВ "Курчум-Вет" Управления ветеринарии Восточно-Казахстанской области и содержится в приложениях: приложение 1 таблица 3, приложение 4 таблица 1, таблица 2, таблица 3. Официальная статистическая информация по статистике растениеводства предоставлена филиалом РГП на ПХВ "ГИПРОзем" по Восточно-Казахстанской области и содержится в приложении 2).</w:t>
      </w:r>
    </w:p>
    <w:bookmarkStart w:name="z11" w:id="4"/>
    <w:p>
      <w:pPr>
        <w:spacing w:after="0"/>
        <w:ind w:left="0"/>
        <w:jc w:val="both"/>
      </w:pPr>
      <w:r>
        <w:rPr>
          <w:rFonts w:ascii="Times New Roman"/>
          <w:b w:val="false"/>
          <w:i w:val="false"/>
          <w:color w:val="000000"/>
          <w:sz w:val="28"/>
        </w:rPr>
        <w:t>
      4. План содержит следующие приложения:</w:t>
      </w:r>
    </w:p>
    <w:bookmarkEnd w:id="4"/>
    <w:p>
      <w:pPr>
        <w:spacing w:after="0"/>
        <w:ind w:left="0"/>
        <w:jc w:val="both"/>
      </w:pPr>
      <w:r>
        <w:rPr>
          <w:rFonts w:ascii="Times New Roman"/>
          <w:b w:val="false"/>
          <w:i w:val="false"/>
          <w:color w:val="000000"/>
          <w:sz w:val="28"/>
        </w:rPr>
        <w:t>
      1) схема (карта) расположения пастбищ на территории по Сарыоленскому сельскому округу Курчумского района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5) схема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7)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 (отдаленные пастбища по Сарыоленскому сельскому округу Курчумского района отсутствуют);</w:t>
      </w:r>
    </w:p>
    <w:p>
      <w:pPr>
        <w:spacing w:after="0"/>
        <w:ind w:left="0"/>
        <w:jc w:val="both"/>
      </w:pPr>
      <w:r>
        <w:rPr>
          <w:rFonts w:ascii="Times New Roman"/>
          <w:b w:val="false"/>
          <w:i w:val="false"/>
          <w:color w:val="000000"/>
          <w:sz w:val="28"/>
        </w:rPr>
        <w:t>
      8)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(перераспределение пастбищ не производится в связи с отсутствием нехватки пастбищ в сельских населенных пунктах);</w:t>
      </w:r>
    </w:p>
    <w:p>
      <w:pPr>
        <w:spacing w:after="0"/>
        <w:ind w:left="0"/>
        <w:jc w:val="both"/>
      </w:pPr>
      <w:r>
        <w:rPr>
          <w:rFonts w:ascii="Times New Roman"/>
          <w:b w:val="false"/>
          <w:i w:val="false"/>
          <w:color w:val="000000"/>
          <w:sz w:val="28"/>
        </w:rPr>
        <w:t>
      9) требования, необходимые для рационального использования пастбищ на территории по Сарыоленскому сельскому округу Курчумского района, к которым относятся:</w:t>
      </w:r>
    </w:p>
    <w:p>
      <w:pPr>
        <w:spacing w:after="0"/>
        <w:ind w:left="0"/>
        <w:jc w:val="both"/>
      </w:pPr>
      <w:r>
        <w:rPr>
          <w:rFonts w:ascii="Times New Roman"/>
          <w:b w:val="false"/>
          <w:i w:val="false"/>
          <w:color w:val="000000"/>
          <w:sz w:val="28"/>
        </w:rPr>
        <w:t>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Данные информационного системы баланса земель и государственного земельного кадастра Сарыоленскому сельского округа Курчумского района</w:t>
      </w:r>
    </w:p>
    <w:p>
      <w:pPr>
        <w:spacing w:after="0"/>
        <w:ind w:left="0"/>
        <w:jc w:val="both"/>
      </w:pPr>
      <w:r>
        <w:rPr>
          <w:rFonts w:ascii="Times New Roman"/>
          <w:b w:val="false"/>
          <w:i w:val="false"/>
          <w:color w:val="000000"/>
          <w:sz w:val="28"/>
        </w:rPr>
        <w:t>
      Таблица 1. Распределение пастбищ по категориям земель Сарыоленскому сельского округа Курчумского района, гектары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Сарыоленский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Распределение пастбищ населенного пункта,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 по выпасу сельскохозяйственных животных личного подворья, гектаров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Сарыолен 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Сарыолен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Барак Батыр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Бірлік</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Аманкелді</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скота местных жителей Сарыоленского сельского округа Курчумского района ВКО передано 10837 гектара. Основными пользователями пастбищ являются жители село Сарыолен, село Барак Батыр, село Бірлік, село Аманкелді.</w:t>
      </w:r>
    </w:p>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гектаров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Абылкаиров Жанысхан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451117300676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Абылкаирова Кульмайра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530123402001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Талгат Айдарбекулы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830616300814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Ашубаев Шарипхан Мухамеджанович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530226300415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Тлеукан Камаргалиевич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621014301561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Алибек Калирахимович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690421300982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"Т-Марат" крестьянское хозяйство (глава Ботобаев Марат Тлеубергенұлы)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641221301997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Ботобаев Марат Тлеубергенұлы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641221301997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Ботобаев Марат Тлеубергенұлы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641221301997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Восточно-Казахстанский филиал Республиканского государственного предприятия на праве хозяйственного ведения "Казводхоз" Министерства окружающей среды и водных ресурсов Республики Казахстан - размещения и эксплуатации канала "Алтайский"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110841011616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Мейрамбек Кабенович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920501351248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Сарыоленского сельского округа Курчумского района Восточно-Казахстанской области" - для размещения и эксплуатации канала "Жаугашты"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Калгутинского сельского округа Курчумского района Восточно-Казахстанской области" - для размещения и эксплуатации антенно-мачтового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Курчумского сельского округа Курчумского района Восточно-Казахстанской области" - для размещения и эксплуатации канала "Торетогам"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ветеринарии Курчумского района ВКО" -захоронения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ветеринарии Курчумского района ВКО" -захоронения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ветеринарии Курчумского района ВКО" -захоронения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Әжікенов Серік Рахметтоллаұлы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691031301428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Әсенов Нұрлан Өмірәліұлы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Зайнешева Жадыра Асылғазықызы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961206450381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 Рахметқали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770405399096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Гульсин Кабыкеновна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621203402286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Гульсин Кабыкеновна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621203402286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Жомарт Окасович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560724301119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 Асхат Атымтаевич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790122300165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КадыролдиновАсхат Атымтаевич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790122300165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Кымбат Сакенович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730809301999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Кайлюбаев Сейткан 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570327300401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Камзина Сагдат Казбековна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740528402255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Каримбаева Кульзиян Кусаиновна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470118400351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Жанар Жылхайдаровна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701012401306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Жанар Жылхайдаровна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701012401306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Жанар Жылхайдаровна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701012401306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Курчумского районного акимата "Күршім мал дәрігері" на праве хозяйственного ведения - скотомогильник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110540013606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Кулетаев Бакытжан Сергалиевич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Кулетаев Бакытжан Сергалиевич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Кумаргалиев Бауыржан Токтарханович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641126300152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Кумаргалиев Бауыржан Токтарханович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641126300152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Қадыролда Тлеухан Халықұлы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қадыролда Тлеухан Халықұлы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Баглан Серикханович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810926303018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Машманов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740903302900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Медет Амангельдынович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Мұхтариятұлы 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900312399043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Мяселов Бакытжан Жениспекович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721128302779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Ниетбаева Аймен Адылхановна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611104400081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Ниетпаев Оралтай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Джумакан Казезович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Нургаламбаев Тлеубек Кабылкаирович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590126301857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Қайрат Акатаевич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621203302221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Нуркасимова Галия Кожахметовна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630103400394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Нурхманов Алибек Нурбекович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740101312561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Ожикенов Жантас Айтказыулы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850722302513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Оңал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840102399068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Оңал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840102399068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Рақыметоллаев Жандос Дәулетбайұлы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960412350441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Адылгазы Сайпулгазинович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601130301856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Серік Мұратұлы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Ерлан Шарипханович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Сақалбаев Дәуітбек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Айдар Ұатканұлы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Амангельды Чериазданович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650129300175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Амангельды Чериазданович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650129300175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Маулен Чериязданұлы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620425302115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Салтанат Кумаровна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830923401898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Тастамбеков Мұқитқан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Талғат қалидолдаұлы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660910302327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Талғат қалидолдаұлы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660910302327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Таткенов Марат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660702301962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Таткенов Марат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660702301962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Марат Оразханович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Марат Оразханович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Тогузов Даулеткан Калыкович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540427301606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Токтаганова Роза Ниязбековна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ТоктағановСерик Азимханович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721126301849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"Шығыссельхозпродукт"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141240013792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Серик Заманбекович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680814301261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Азамат Бекмухамбетович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861204301404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Азамат Бекмухамбетович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861204301404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Асхат Ерболұлы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841023301962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 Кулимхан Кабыловна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581012402743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 Кулимхан Кабыловна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581012402743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Жилыбай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Ыбраев Елімұхамет Юсупханұлы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501106301507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50 428,16</w:t>
            </w:r>
          </w:p>
        </w:tc>
      </w:tr>
    </w:tbl>
    <w:p>
      <w:pPr>
        <w:spacing w:after="0"/>
        <w:ind w:left="0"/>
        <w:jc w:val="both"/>
      </w:pPr>
      <w:r>
        <w:rPr>
          <w:rFonts w:ascii="Times New Roman"/>
          <w:b w:val="false"/>
          <w:i w:val="false"/>
          <w:color w:val="000000"/>
          <w:sz w:val="28"/>
        </w:rPr>
        <w:t>
      Таблица № 4. Распределение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w:t>
            </w:r>
          </w:p>
          <w:p>
            <w:pPr>
              <w:spacing w:after="20"/>
              <w:ind w:left="20"/>
              <w:jc w:val="both"/>
            </w:pPr>
            <w:r>
              <w:rPr>
                <w:rFonts w:ascii="Times New Roman"/>
                <w:b w:val="false"/>
                <w:i w:val="false"/>
                <w:color w:val="000000"/>
                <w:sz w:val="20"/>
              </w:rPr>
              <w:t>
объектов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населенного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Сарыолен ский сельский округ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Барак Батыр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r>
    </w:tbl>
    <w:p>
      <w:pPr>
        <w:spacing w:after="0"/>
        <w:ind w:left="0"/>
        <w:jc w:val="both"/>
      </w:pPr>
      <w:r>
        <w:rPr>
          <w:rFonts w:ascii="Times New Roman"/>
          <w:b w:val="false"/>
          <w:i w:val="false"/>
          <w:color w:val="000000"/>
          <w:sz w:val="28"/>
        </w:rPr>
        <w:t>
      План принят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На 1 января 2025 года в Сарыоленском сельском округе Курчумского района насчитывается у личного подворья населения: крупного рогатого скота - 2488 голов, мелкого рогатого скота - 4239 голов, лошадей - 1165 головы.</w:t>
      </w:r>
    </w:p>
    <w:p>
      <w:pPr>
        <w:spacing w:after="0"/>
        <w:ind w:left="0"/>
        <w:jc w:val="both"/>
      </w:pPr>
      <w:r>
        <w:rPr>
          <w:rFonts w:ascii="Times New Roman"/>
          <w:b w:val="false"/>
          <w:i w:val="false"/>
          <w:color w:val="000000"/>
          <w:sz w:val="28"/>
        </w:rPr>
        <w:t>
      В селе Сарыолен:</w:t>
      </w:r>
    </w:p>
    <w:p>
      <w:pPr>
        <w:spacing w:after="0"/>
        <w:ind w:left="0"/>
        <w:jc w:val="both"/>
      </w:pPr>
      <w:r>
        <w:rPr>
          <w:rFonts w:ascii="Times New Roman"/>
          <w:b w:val="false"/>
          <w:i w:val="false"/>
          <w:color w:val="000000"/>
          <w:sz w:val="28"/>
        </w:rPr>
        <w:t>
      крупного рогатого скота - 1082 голов, мелкого рогатого скота - 2386 голов, лошадей - 645 головы.</w:t>
      </w:r>
    </w:p>
    <w:p>
      <w:pPr>
        <w:spacing w:after="0"/>
        <w:ind w:left="0"/>
        <w:jc w:val="both"/>
      </w:pPr>
      <w:r>
        <w:rPr>
          <w:rFonts w:ascii="Times New Roman"/>
          <w:b w:val="false"/>
          <w:i w:val="false"/>
          <w:color w:val="000000"/>
          <w:sz w:val="28"/>
        </w:rPr>
        <w:t>
      Площадь пастбищ села Сарыолен 5635 гектаров.</w:t>
      </w:r>
    </w:p>
    <w:p>
      <w:pPr>
        <w:spacing w:after="0"/>
        <w:ind w:left="0"/>
        <w:jc w:val="both"/>
      </w:pPr>
      <w:r>
        <w:rPr>
          <w:rFonts w:ascii="Times New Roman"/>
          <w:b w:val="false"/>
          <w:i w:val="false"/>
          <w:color w:val="000000"/>
          <w:sz w:val="28"/>
        </w:rPr>
        <w:t>
      В селе Барак Батыр: </w:t>
      </w:r>
    </w:p>
    <w:p>
      <w:pPr>
        <w:spacing w:after="0"/>
        <w:ind w:left="0"/>
        <w:jc w:val="both"/>
      </w:pPr>
      <w:r>
        <w:rPr>
          <w:rFonts w:ascii="Times New Roman"/>
          <w:b w:val="false"/>
          <w:i w:val="false"/>
          <w:color w:val="000000"/>
          <w:sz w:val="28"/>
        </w:rPr>
        <w:t>
      крупного рогатого скота - 769 голов, мелкого рогатого скота - 1156 голов, лошадей - 235 головы.</w:t>
      </w:r>
    </w:p>
    <w:p>
      <w:pPr>
        <w:spacing w:after="0"/>
        <w:ind w:left="0"/>
        <w:jc w:val="both"/>
      </w:pPr>
      <w:r>
        <w:rPr>
          <w:rFonts w:ascii="Times New Roman"/>
          <w:b w:val="false"/>
          <w:i w:val="false"/>
          <w:color w:val="000000"/>
          <w:sz w:val="28"/>
        </w:rPr>
        <w:t>
      Площадь пастбищ села Барак Батыр 603 гектара.</w:t>
      </w:r>
    </w:p>
    <w:p>
      <w:pPr>
        <w:spacing w:after="0"/>
        <w:ind w:left="0"/>
        <w:jc w:val="both"/>
      </w:pPr>
      <w:r>
        <w:rPr>
          <w:rFonts w:ascii="Times New Roman"/>
          <w:b w:val="false"/>
          <w:i w:val="false"/>
          <w:color w:val="000000"/>
          <w:sz w:val="28"/>
        </w:rPr>
        <w:t>
      В селе Бірлік:</w:t>
      </w:r>
    </w:p>
    <w:p>
      <w:pPr>
        <w:spacing w:after="0"/>
        <w:ind w:left="0"/>
        <w:jc w:val="both"/>
      </w:pPr>
      <w:r>
        <w:rPr>
          <w:rFonts w:ascii="Times New Roman"/>
          <w:b w:val="false"/>
          <w:i w:val="false"/>
          <w:color w:val="000000"/>
          <w:sz w:val="28"/>
        </w:rPr>
        <w:t>
      крупного рогатого скота - 637 голов, мелкого рогатого скота - 697 голов, лошадей - 285 головы.</w:t>
      </w:r>
    </w:p>
    <w:p>
      <w:pPr>
        <w:spacing w:after="0"/>
        <w:ind w:left="0"/>
        <w:jc w:val="both"/>
      </w:pPr>
      <w:r>
        <w:rPr>
          <w:rFonts w:ascii="Times New Roman"/>
          <w:b w:val="false"/>
          <w:i w:val="false"/>
          <w:color w:val="000000"/>
          <w:sz w:val="28"/>
        </w:rPr>
        <w:t>
      Площадь пастбищ села Бірлік 748 гектаров.</w:t>
      </w:r>
    </w:p>
    <w:p>
      <w:pPr>
        <w:spacing w:after="0"/>
        <w:ind w:left="0"/>
        <w:jc w:val="both"/>
      </w:pPr>
      <w:r>
        <w:rPr>
          <w:rFonts w:ascii="Times New Roman"/>
          <w:b w:val="false"/>
          <w:i w:val="false"/>
          <w:color w:val="000000"/>
          <w:sz w:val="28"/>
        </w:rPr>
        <w:t>
      На 1 января 2025 года в Сарыоленском сельском округе Курчумского района насчитывается у К/Х и ТОО: крупного рогатого скота - 2008 голов, мелкого рогатого скота - 6981 голов, лошадей - 1655 головы.</w:t>
      </w:r>
    </w:p>
    <w:p>
      <w:pPr>
        <w:spacing w:after="0"/>
        <w:ind w:left="0"/>
        <w:jc w:val="both"/>
      </w:pPr>
      <w:r>
        <w:rPr>
          <w:rFonts w:ascii="Times New Roman"/>
          <w:b w:val="false"/>
          <w:i w:val="false"/>
          <w:color w:val="000000"/>
          <w:sz w:val="28"/>
        </w:rPr>
        <w:t>
      Таблица № 5. Требуемые дополнительные пастбища на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bookmarkStart w:name="z14" w:id="5"/>
    <w:p>
      <w:pPr>
        <w:spacing w:after="0"/>
        <w:ind w:left="0"/>
        <w:jc w:val="left"/>
      </w:pPr>
      <w:r>
        <w:rPr>
          <w:rFonts w:ascii="Times New Roman"/>
          <w:b/>
          <w:i w:val="false"/>
          <w:color w:val="000000"/>
        </w:rPr>
        <w:t xml:space="preserve"> 1. РАСТИТЕЛЬНОСТЬ 2. КРАТКАЯ ХАРАКТЕРИСТИКА ОСНОВНЫХ КОРМОВЫХ, НЕПОЕДАЕМЫХ, ЯДОВИТЫХ И ЛЕКАРСТВЕННЫХ РАСТЕНИЙ</w:t>
      </w:r>
    </w:p>
    <w:bookmarkEnd w:id="5"/>
    <w:bookmarkStart w:name="z15" w:id="6"/>
    <w:p>
      <w:pPr>
        <w:spacing w:after="0"/>
        <w:ind w:left="0"/>
        <w:jc w:val="left"/>
      </w:pPr>
      <w:r>
        <w:rPr>
          <w:rFonts w:ascii="Times New Roman"/>
          <w:b/>
          <w:i w:val="false"/>
          <w:color w:val="000000"/>
        </w:rPr>
        <w:t xml:space="preserve"> 2.1. Кормовые растения</w:t>
      </w:r>
    </w:p>
    <w:bookmarkEnd w:id="6"/>
    <w:p>
      <w:pPr>
        <w:spacing w:after="0"/>
        <w:ind w:left="0"/>
        <w:jc w:val="both"/>
      </w:pPr>
      <w:r>
        <w:rPr>
          <w:rFonts w:ascii="Times New Roman"/>
          <w:b w:val="false"/>
          <w:i w:val="false"/>
          <w:color w:val="000000"/>
          <w:sz w:val="28"/>
        </w:rPr>
        <w:t xml:space="preserve">
      Ковыль волосатик (тырса) - многолетний плотнокустовой дернинный злак высотой 50-80 см. Весной начинает отрастать позже многих ксерофильных злаков, поэтому и засыхание у него происходит значительно позже. ДаҰт урожаи выше других ковылей, а при скашивании до колошения даҰт отаву до 50% массы первого укоса, причҰм отава состоит в основном из листьев. Весной листья отлично поедают лошади и быстро набирают вес. С конца цветения почти не поедается. Крупный рогатый скот поедает несколько хуже лошадей, овцы и козы поедают его удовлетворительно только в молодом возрасте. Осенняя отава очень нежная и хорошо поедается всеми животными. </w:t>
      </w:r>
    </w:p>
    <w:p>
      <w:pPr>
        <w:spacing w:after="0"/>
        <w:ind w:left="0"/>
        <w:jc w:val="both"/>
      </w:pPr>
      <w:r>
        <w:rPr>
          <w:rFonts w:ascii="Times New Roman"/>
          <w:b w:val="false"/>
          <w:i w:val="false"/>
          <w:color w:val="000000"/>
          <w:sz w:val="28"/>
        </w:rPr>
        <w:t xml:space="preserve">
      Ковыль сарептский (тырсик) - многолетний злак, образующий плотные дерновины. Высота генеративных побегов достигает 40-80 см. ЦветҰт в мае-июне. Листья весной охотно поедаются лошадьми, подсосные кобылы увеличивают удои. На ковыльных пастбищах лошади быстро поправляются, кумыс получается отличного качества. Крупный рогатый скот поедает этот ковыль несколько хуже. Овцы поедают его удовлетворительно только в ранних фазах роста, с фазы цветения и особенно плодоношения он для них очень опасен. Отаву даҰт очень нежную и хорошо поедаемую всеми животными. При нагуле обеспечивает хороший прирост животных. </w:t>
      </w:r>
    </w:p>
    <w:p>
      <w:pPr>
        <w:spacing w:after="0"/>
        <w:ind w:left="0"/>
        <w:jc w:val="both"/>
      </w:pPr>
      <w:r>
        <w:rPr>
          <w:rFonts w:ascii="Times New Roman"/>
          <w:b w:val="false"/>
          <w:i w:val="false"/>
          <w:color w:val="000000"/>
          <w:sz w:val="28"/>
        </w:rPr>
        <w:t xml:space="preserve">
      Овсяница бороздчатая (типчак) - многолетний плотнокустовой злак высотой 30-60 см, образующий мощные плотные дернины с многочисленными прикорневыми листьями. ЦветҰт в конце мая - начале июня, после цветения начинает засыхать и при полном созревании становится жҰлтой и грубой травой. ВсҰ жаркое лето находится в состоянии покоя и не отрастает. С понижением температуры и выпадением первых дождей появляется масса прикорневых листьев. На пастбище поедается прекрасно всеми видами животных, особенно лошадьми, только верблюды поедают его удовлетворительно. С начала цветения и особенно в фазу созревания поедается хуже, а летом поедаются только прикорневые листья. </w:t>
      </w:r>
    </w:p>
    <w:p>
      <w:pPr>
        <w:spacing w:after="0"/>
        <w:ind w:left="0"/>
        <w:jc w:val="both"/>
      </w:pPr>
      <w:r>
        <w:rPr>
          <w:rFonts w:ascii="Times New Roman"/>
          <w:b w:val="false"/>
          <w:i w:val="false"/>
          <w:color w:val="000000"/>
          <w:sz w:val="28"/>
        </w:rPr>
        <w:t xml:space="preserve">
      Осока черноколосая - многолетнее корневищное растение с длинными ползучими побегами. Стебли тонкие, прямые, высотой 30-60 см. Листья свҰрнутые желобком, шириной 2-4 мм, жҰсткие. ЦветҰт в июне. Корм среднего качества. На пастбище плодоносящие побеги поедаются только до цветения, лиственные (вегетативные) побеги - несколько дольше и только удовлетворительно. В июле поедается плохо. Отава хорошо поедается в августе, позже - хуже. В сухой степи быстро грубеет, поэтому период, когда она поедается животными, очень короткий. В сене хорошо поедается крупным рогатым скотом и лошадьми, а овцами и верблюдами - плохо. </w:t>
      </w:r>
    </w:p>
    <w:p>
      <w:pPr>
        <w:spacing w:after="0"/>
        <w:ind w:left="0"/>
        <w:jc w:val="both"/>
      </w:pPr>
      <w:r>
        <w:rPr>
          <w:rFonts w:ascii="Times New Roman"/>
          <w:b w:val="false"/>
          <w:i w:val="false"/>
          <w:color w:val="000000"/>
          <w:sz w:val="28"/>
        </w:rPr>
        <w:t xml:space="preserve">
      Бескильница расставленная (ак-мамык) - многолетний кустовой злак, образующий грубые развалистые дерновины. Достигает высоты 15-60 см. ЦветҰт в июне-июле. Переносит очень сильное засоление, но плохо развивается на сухих солончаках. В лесостепи и степи считается одним из лучших кормовых растений: на пастбище прекрасно поедается крупным рогатым скотом, лошадьми, несколько хуже - овцами, козами и верблюдами. Скошенная в фазе колошения даҰт очень нежное сено, отлично поедаемое всеми видами животных. С фазы цветения сильно грубеет и плохо поедается. При стравливании до цветения даҰт до 30%, во влажные годы - до 60% отавы. По питательности приравнивается к лучшим злаковым растениям. Рекомендуется для испытания в культуре на влажных солончаковатых почвах. </w:t>
      </w:r>
    </w:p>
    <w:p>
      <w:pPr>
        <w:spacing w:after="0"/>
        <w:ind w:left="0"/>
        <w:jc w:val="both"/>
      </w:pPr>
      <w:r>
        <w:rPr>
          <w:rFonts w:ascii="Times New Roman"/>
          <w:b w:val="false"/>
          <w:i w:val="false"/>
          <w:color w:val="000000"/>
          <w:sz w:val="28"/>
        </w:rPr>
        <w:t xml:space="preserve">
      Вейник наземный (ак-батаук) - многолетний злак с ползучим корневищем, высотой 80-150 см, со среднеоблиственным стеблем. ЦветҰт в июне-июле. Грубая кормовая трава заливных и болотистых лугов. Нетребователен к почве, выносит значительное засоление. Обладает хорошей устойчивостью к выпасу и сенокошению, но даҰт грубое, плохо поедаемое сено. Скашивать на сено следует не позже фазы колошения, так как он очень быстро грубеет. На пастбище плохо поедается всеми видами диких и домашних животных: крупный рогатый скот и лошади поедают только до колошения, во второй половине лета скусывают только соцветия и верхние листья. </w:t>
      </w:r>
    </w:p>
    <w:p>
      <w:pPr>
        <w:spacing w:after="0"/>
        <w:ind w:left="0"/>
        <w:jc w:val="both"/>
      </w:pPr>
      <w:r>
        <w:rPr>
          <w:rFonts w:ascii="Times New Roman"/>
          <w:b w:val="false"/>
          <w:i w:val="false"/>
          <w:color w:val="000000"/>
          <w:sz w:val="28"/>
        </w:rPr>
        <w:t xml:space="preserve">
      Волоснец узкий - многолетний злак с голыми, гладкими стеблями высотой 50-120 см. Влагалища листьев гладкие, язычок до 8 мм длиной. Листья до 7 мм ширины, иногда сложенные. МетҰлка длиной 10-30 см. ЦветҰт в июне-сентябре. Грубый корм. На пастбище более или менее удовлетворительно поедается животными на ранних фазах, преимущественно лошадьми и крупным рогатым скотом. Очень быстро грубеет, поэтому на сено необходимо заготавливать до выбрасывания метҰлок. </w:t>
      </w:r>
    </w:p>
    <w:p>
      <w:pPr>
        <w:spacing w:after="0"/>
        <w:ind w:left="0"/>
        <w:jc w:val="both"/>
      </w:pPr>
      <w:r>
        <w:rPr>
          <w:rFonts w:ascii="Times New Roman"/>
          <w:b w:val="false"/>
          <w:i w:val="false"/>
          <w:color w:val="000000"/>
          <w:sz w:val="28"/>
        </w:rPr>
        <w:t xml:space="preserve">
      Прибрежница солончаковая (ажрек) - многолетний злак высотой 5-15 см с длинными, от основания разветвляющимися и укореняющимися в узлах побегами. ЦветҰт в апреле-июне. Цветки собраны в колосовидную метҰлку. Переносит сильное засоление почв и нередко даҰт чистые заросли. Урожайность резко колеблется в зависимости от мест обитания. Одно из основных растений пустынь. На пастбище поедается всеми животными, причҰм лучше - с фазы плодоношения, осенью и зимой. В сене - удовлетворительно и даже хорошо, но на сено необходимо убирать не позже фазы колошения, так как перестойное сено может повреждать ротовую полость животных. На юге охотно поедается животными по возвращении с гор. </w:t>
      </w:r>
    </w:p>
    <w:p>
      <w:pPr>
        <w:spacing w:after="0"/>
        <w:ind w:left="0"/>
        <w:jc w:val="both"/>
      </w:pPr>
      <w:r>
        <w:rPr>
          <w:rFonts w:ascii="Times New Roman"/>
          <w:b w:val="false"/>
          <w:i w:val="false"/>
          <w:color w:val="000000"/>
          <w:sz w:val="28"/>
        </w:rPr>
        <w:t xml:space="preserve">
      Мятлик луговой - многолетний рыхлокустовой злак высотой 30-90 см с ползучим корневищем. ЦветҰт в мае-июле. Имеет тонкие, слабооблиственные стебли, кроме генеративных имеет большое количество вегетативных побегов, из-за чего его относят к типичным низовым злакам. Пастбищное растение, широко и быстро распространяется в травостое при умеренном выпасе. Считается отличным кормовым растением: отлично поедается лошадьми, крупным рогатым скотом, овцами и дикими животными. Особенно ценны эти пастбища для нагула молодняка крупного рогатого скота. </w:t>
      </w:r>
    </w:p>
    <w:p>
      <w:pPr>
        <w:spacing w:after="0"/>
        <w:ind w:left="0"/>
        <w:jc w:val="both"/>
      </w:pPr>
      <w:r>
        <w:rPr>
          <w:rFonts w:ascii="Times New Roman"/>
          <w:b w:val="false"/>
          <w:i w:val="false"/>
          <w:color w:val="000000"/>
          <w:sz w:val="28"/>
        </w:rPr>
        <w:t xml:space="preserve">
      Карагана кустарник - слабоколючий ветвистый кустарник высотой 0,5-2 м с прямыми побегами и ветвями с тҰмной, зеленовато- или желтовато-серой корой. Цветки ярко-жҰлтые. ЦветҰт в мае-июле, плодоносит в июле-сентябре. На пастбище поедаются листья и молодые побеги крупным рогатым скотом и овцами. Хорошо облиственна, а ветки в густых зарослях, особенно там, где растительность ежегодно выкашивается, тонкие, прутьевидные. На таких пастбищах иногда даже хорошо поедается почти до самой осени. В листьях и цветках содержится много протеина. </w:t>
      </w:r>
    </w:p>
    <w:p>
      <w:pPr>
        <w:spacing w:after="0"/>
        <w:ind w:left="0"/>
        <w:jc w:val="both"/>
      </w:pPr>
      <w:r>
        <w:rPr>
          <w:rFonts w:ascii="Times New Roman"/>
          <w:b w:val="false"/>
          <w:i w:val="false"/>
          <w:color w:val="000000"/>
          <w:sz w:val="28"/>
        </w:rPr>
        <w:t>
      Лебеда седая (кокпек) - полукустарник с раскинутыми недлинными деревянистыми ветвями высотой 20-50 см. Однолетние побеги высотой 15-30 см. Листья очередные, толстоватые, длиной 0,5-3 см, шириной 0,2-0,7 см, продолговато-яйцевидные, на верхушке тупые. В пазухах листьев укороченные побеги с более мелкими листьями. Цветки собраны в мутовчато-колосовидное соцветие. ЦветҰт и плодоносит в июле-сентябре. На пастбище с фазы цветения, осенью после плодоношения и зимой хорошо поедается верблюдами, удовлетворительно - овцами и лошадьми. Для овец и верблюдов осенью и зимой - нажировочный корм. Ранней весной лошади охотно поедают прошлогодние веточки. По данным химического анализа, содержит относительно много протеина и немного клетчатки, но коэффициент переваримости всех питательных веществ на ранних фазах очень низкий, соответственно низка и питательность в этот период (ниже 40 к. ед.). С фазы плодоношения значительно повышается переваримость клетчатки и БЭВ, поэтому общая питательность осенью выше, чем летом и весной. Листья содержат органические кислоты. Возбуждает аппетит у животных.</w:t>
      </w:r>
    </w:p>
    <w:p>
      <w:pPr>
        <w:spacing w:after="0"/>
        <w:ind w:left="0"/>
        <w:jc w:val="both"/>
      </w:pPr>
      <w:r>
        <w:rPr>
          <w:rFonts w:ascii="Times New Roman"/>
          <w:b w:val="false"/>
          <w:i w:val="false"/>
          <w:color w:val="000000"/>
          <w:sz w:val="28"/>
        </w:rPr>
        <w:t xml:space="preserve">
      Ежовник солончаковый (биюргун) - кустарничек высотой 5-40 см с деревянистыми простертыми веточками, дающими многочисленные голые, травянистые цилиндрические, ветвистые, членистые годичные побеги. Листья мясистые, до 5 мм длиной. Цветки одиночные, собраны в колосовидные соцветия. Цветет в июле-августе. Одно из самых распространенных растений на полынно-солянковых пастбищах. Основное пастбищное растение для верблюдов (после полыни). Верблюды весной хорошо поедают прошлогодние побеги, летом зеленый корм поедают плохо и вновь хорошо поедают его осенью и зимой. Осенью биюргун для верблюдов - нажировочный корм, овцы, козы и лошади поедают его хорошо весной (прошлогодние побеги), осенью и зимой, но хуже верблюдов, летом почти не едят. Анализ образцов из различных областей Казахстана показывает высокую питательность во все фазы его развития. </w:t>
      </w:r>
    </w:p>
    <w:p>
      <w:pPr>
        <w:spacing w:after="0"/>
        <w:ind w:left="0"/>
        <w:jc w:val="both"/>
      </w:pPr>
      <w:r>
        <w:rPr>
          <w:rFonts w:ascii="Times New Roman"/>
          <w:b w:val="false"/>
          <w:i w:val="false"/>
          <w:color w:val="000000"/>
          <w:sz w:val="28"/>
        </w:rPr>
        <w:t xml:space="preserve">
      Таволга зверобоелистная - кустарник высотой до 150 см с многочисленными зонтиками цветков на коричневых прутьевидных ветвях. Листья мелкие, молодые опушенные, обратно-яйцевидные. Соцветия - 4-10-цветковые сидячие зонтики. Цветет в апреле-мае, плодоносит в июне. На пастбище листья и молодые побеги охотно поедаются овцами и козами. Остальные животные поедают хуже. На ранних стадиях содержится много протеина, жира и не очень много клетчатки, а питательность не хуже хорошего бобового сена. Содержит витамин С, ароматические вещества. </w:t>
      </w:r>
    </w:p>
    <w:p>
      <w:pPr>
        <w:spacing w:after="0"/>
        <w:ind w:left="0"/>
        <w:jc w:val="both"/>
      </w:pPr>
      <w:r>
        <w:rPr>
          <w:rFonts w:ascii="Times New Roman"/>
          <w:b w:val="false"/>
          <w:i w:val="false"/>
          <w:color w:val="000000"/>
          <w:sz w:val="28"/>
        </w:rPr>
        <w:t xml:space="preserve">
      Полынь белоземельная (тамыржусан) - многолетнее травянистое растение высотой до 45 см с многочисленными вегетативными и генеративными побегами, образующими плотные и широкие дерновины. Все растение опушенное. Листья в очертании яйцевидные, 1-2 см длиной и до 1 см шириной, просто или дважды перисторассеченные. Цветки желтые. Цветет в августе-октябре. На пастбище поедается овцами хорошо и даже отлично весной, удовлетворительно летом, вновь хорошо и отлично поедается осенью и зимой. Немного хуже ее поедают лошади и верблюды. Крупный рогатый скот удовлетворительно поедает ее весной, осенью и зимой и почти не поедает летом. </w:t>
      </w:r>
    </w:p>
    <w:p>
      <w:pPr>
        <w:spacing w:after="0"/>
        <w:ind w:left="0"/>
        <w:jc w:val="both"/>
      </w:pPr>
      <w:r>
        <w:rPr>
          <w:rFonts w:ascii="Times New Roman"/>
          <w:b w:val="false"/>
          <w:i w:val="false"/>
          <w:color w:val="000000"/>
          <w:sz w:val="28"/>
        </w:rPr>
        <w:t xml:space="preserve">
      Полынь лессинговидная (узкодольчатая) - многолетнее растение с деревянистым многоглавым корнем и многочисленными вегетативными (укороченными) и генеративными, ветвящимися вверху стеблями (высотой до 45 см), образующими высокую плотную дерновину. Цветет в сентябре-октябре. Слабо изучено в кормовом отношении. По литературным источникам, овцами и лошадьми вполне удовлетворительно поедается осенью и зимой. По наблюдениям геоботаников, на пастбище удовлетворительно поедается всеми животными весной, летом и осенью. На ранних фазах содержит много протеина и мало клетчатки. </w:t>
      </w:r>
    </w:p>
    <w:p>
      <w:pPr>
        <w:spacing w:after="0"/>
        <w:ind w:left="0"/>
        <w:jc w:val="both"/>
      </w:pPr>
      <w:r>
        <w:rPr>
          <w:rFonts w:ascii="Times New Roman"/>
          <w:b w:val="false"/>
          <w:i w:val="false"/>
          <w:color w:val="000000"/>
          <w:sz w:val="28"/>
        </w:rPr>
        <w:t xml:space="preserve">
      Чий блестящий (ший) - многолетний крупнодернинный злак, достигающий высоты 250 см, с крепкими стеблями. Цветет в мае-июле. Растение грубое с сильно шероховатыми листьями. Встречается на различных почвах, но почти всегда в местах с близким залеганием грунтовых вод, образуя иногда сплошные заросли. По скоплению чия ориентируются в выборе места для копки колодца. На пастбище поедается охотно только до колошения, позже он очень грубеет. Отава чия и летом поедается охотно. В сене хорошо поедается, если скошен до колошения, а при более позднем скашивании поедаются только листья. Особое значение имеет на зимних пастбищах, так как высокие кусты чия не заносятся снегом. Относится к кормовым растениям среднего качества. </w:t>
      </w:r>
    </w:p>
    <w:p>
      <w:pPr>
        <w:spacing w:after="0"/>
        <w:ind w:left="0"/>
        <w:jc w:val="both"/>
      </w:pPr>
      <w:r>
        <w:rPr>
          <w:rFonts w:ascii="Times New Roman"/>
          <w:b w:val="false"/>
          <w:i w:val="false"/>
          <w:color w:val="000000"/>
          <w:sz w:val="28"/>
        </w:rPr>
        <w:t xml:space="preserve">
      Тростник обыкновенный - корневищный злак высотой 2,5 до 9 м. Цветет в мае-июне. В молодом возрасте тростник содержит много сахара, и в это время лошади и крупный рогатый скот поедают его весьма охотно. Хуже поедают его овцы, козы и верблюды. Однако ещҰ до выбрасывания метелки он становится настолько грубым, что скот на пастбищах поедает его неохотно. Причина - сильное огрубение и резкое увеличение в тростнике непереваримых веществ. </w:t>
      </w:r>
    </w:p>
    <w:p>
      <w:pPr>
        <w:spacing w:after="0"/>
        <w:ind w:left="0"/>
        <w:jc w:val="both"/>
      </w:pPr>
      <w:r>
        <w:rPr>
          <w:rFonts w:ascii="Times New Roman"/>
          <w:b w:val="false"/>
          <w:i w:val="false"/>
          <w:color w:val="000000"/>
          <w:sz w:val="28"/>
        </w:rPr>
        <w:t xml:space="preserve">
      Климакоптера супротивнолистная - однолетнее травянистое растение с прямым ветвистым стеблем высотой 7-15 см. Нижние ветви сближенно-супротивные. Листья супротивные, линейные, мясистые, остроконечные. Плоды с пленчатыми пурпурными или лимонно-желтыми крыльями. Встречается на солонцах, сильно солонцеватых почвах. Цветет в июле-сентябре. Осенне-зимний корм. Из-за наличия в ней большого количества солей летом поедается удовлетворительно только верблюдами. Осенью ее хорошо поедают овцы и верблюды, причем для верблюдов - нажировочный корм. Крупный рогатый скот и лошади поедают ее плохо. Питательность достаточно высокая. </w:t>
      </w:r>
    </w:p>
    <w:p>
      <w:pPr>
        <w:spacing w:after="0"/>
        <w:ind w:left="0"/>
        <w:jc w:val="both"/>
      </w:pPr>
      <w:r>
        <w:rPr>
          <w:rFonts w:ascii="Times New Roman"/>
          <w:b w:val="false"/>
          <w:i w:val="false"/>
          <w:color w:val="000000"/>
          <w:sz w:val="28"/>
        </w:rPr>
        <w:t xml:space="preserve">
      Нанофитон ежовый (тасбиюргун, жапак) - кустарничек высотой 5-15 см с короткими многократно ветвистыми деревянистыми толстыми стеблями. Образует плотные подушковидные жесткие дерновины. Листья очередные, расположенные плотно, скрывающие стебель, короткие, мясистые, шиловидные с шипиком на конце. Цветки одиночные, пазушные, на конце веток. Цветет в августе-сентябре. Очень медленно растущее растение, за лето веточки дают прирост не более 1-4 см. Это чисто пастбищное растение. Овцами поедается круглый год, но особенно хорошо поедается животными осенью и зимой. Для овец и верблюдов - нажировочный корм, что подтверждается данными химического анализа. Даже в осеннем состоянии его питательность не ниже лугового сена среднего качества. </w:t>
      </w:r>
    </w:p>
    <w:bookmarkStart w:name="z16" w:id="7"/>
    <w:p>
      <w:pPr>
        <w:spacing w:after="0"/>
        <w:ind w:left="0"/>
        <w:jc w:val="left"/>
      </w:pPr>
      <w:r>
        <w:rPr>
          <w:rFonts w:ascii="Times New Roman"/>
          <w:b/>
          <w:i w:val="false"/>
          <w:color w:val="000000"/>
        </w:rPr>
        <w:t xml:space="preserve"> 2.2. Непоедаемые растения</w:t>
      </w:r>
    </w:p>
    <w:bookmarkEnd w:id="7"/>
    <w:p>
      <w:pPr>
        <w:spacing w:after="0"/>
        <w:ind w:left="0"/>
        <w:jc w:val="both"/>
      </w:pPr>
      <w:r>
        <w:rPr>
          <w:rFonts w:ascii="Times New Roman"/>
          <w:b w:val="false"/>
          <w:i w:val="false"/>
          <w:color w:val="000000"/>
          <w:sz w:val="28"/>
        </w:rPr>
        <w:t xml:space="preserve">
      Чингил серебристый - сильно колючий кустарник высотой 50-200 см с буровато-коричневой корой. Листья парноперистые, заканчивающиеся колючкой, с 1-5 парами листочков, продолговато-обратнояйцевидные. Цветки розовые, реже белые. ЦветҰт в мае-июне. Животными поедается плохо. Осенью и зимой верблюды и овцы поедают плоды и опавшие листья. </w:t>
      </w:r>
    </w:p>
    <w:p>
      <w:pPr>
        <w:spacing w:after="0"/>
        <w:ind w:left="0"/>
        <w:jc w:val="both"/>
      </w:pPr>
      <w:r>
        <w:rPr>
          <w:rFonts w:ascii="Times New Roman"/>
          <w:b w:val="false"/>
          <w:i w:val="false"/>
          <w:color w:val="000000"/>
          <w:sz w:val="28"/>
        </w:rPr>
        <w:t xml:space="preserve">
      Бузульник сибирский - многолетнее травянистое корневищное растение высотой 40-75 см с прямым бороздчатым стеблем. Корневище укороченное, с многочисленными корневыми мочками. Листья продолговато-треугольные или продолговато-яйцевидные, 5-35 см длиной и 2,5-25 см шириной, по краю неравнозубчатые. Краевые цветки ярко-жҰлтые. ЦветҰт в июне-августе, плодоносит в августе-сентябре. По литературным источникам, животными не поедается, злостный сорняк на пастбище и подлежит уничтожению. По наблюдениям геоботаников, летом частично поедается овцами и лошадьми. Содержит среднее количество протеина и клетчатки. </w:t>
      </w:r>
    </w:p>
    <w:p>
      <w:pPr>
        <w:spacing w:after="0"/>
        <w:ind w:left="0"/>
        <w:jc w:val="both"/>
      </w:pPr>
      <w:r>
        <w:rPr>
          <w:rFonts w:ascii="Times New Roman"/>
          <w:b w:val="false"/>
          <w:i w:val="false"/>
          <w:color w:val="000000"/>
          <w:sz w:val="28"/>
        </w:rPr>
        <w:t xml:space="preserve">
      Молочай джунгарский - многолетнее травянистое растение со стеблями высотой 35-110 см, сверху хорошо облиственными. ЦветҰт в июле, плодоносит в июле-августе. По литературным данным, животными не поедается. При поедании вызывает воспаление полости рта, а у дойных коров молоко приобретает красный цвет. По наблюдениям геоботаников, немного поедается овцами и верблюдами. </w:t>
      </w:r>
    </w:p>
    <w:bookmarkStart w:name="z17" w:id="8"/>
    <w:p>
      <w:pPr>
        <w:spacing w:after="0"/>
        <w:ind w:left="0"/>
        <w:jc w:val="left"/>
      </w:pPr>
      <w:r>
        <w:rPr>
          <w:rFonts w:ascii="Times New Roman"/>
          <w:b/>
          <w:i w:val="false"/>
          <w:color w:val="000000"/>
        </w:rPr>
        <w:t xml:space="preserve"> 2.3. Ядовитые растения</w:t>
      </w:r>
    </w:p>
    <w:bookmarkEnd w:id="8"/>
    <w:p>
      <w:pPr>
        <w:spacing w:after="0"/>
        <w:ind w:left="0"/>
        <w:jc w:val="both"/>
      </w:pPr>
      <w:r>
        <w:rPr>
          <w:rFonts w:ascii="Times New Roman"/>
          <w:b w:val="false"/>
          <w:i w:val="false"/>
          <w:color w:val="000000"/>
          <w:sz w:val="28"/>
        </w:rPr>
        <w:t xml:space="preserve">
      Брунец лисохвостный - растение с ветвистым стеблем высотой до 80-100 см. Цветки белые с желтоватым оттенком. ЦветҰт в мае-июне, плоды созревают в июле-августе. Содержит алкалоиды софоридин, софокарпин, алоперин. Известны случаи отравления овец. Доказано, что алкалоиды брунца действуют на нервную систему. </w:t>
      </w:r>
    </w:p>
    <w:p>
      <w:pPr>
        <w:spacing w:after="0"/>
        <w:ind w:left="0"/>
        <w:jc w:val="both"/>
      </w:pPr>
      <w:r>
        <w:rPr>
          <w:rFonts w:ascii="Times New Roman"/>
          <w:b w:val="false"/>
          <w:i w:val="false"/>
          <w:color w:val="000000"/>
          <w:sz w:val="28"/>
        </w:rPr>
        <w:t xml:space="preserve">
      Горчак ползучий - многолетнее травянистое растение высотой 15-60 см. ЦветҰт в мае-июне, плодоносит в июле-августе. В сене поедается удовлетворительно всеми животными. Содержит алкалоиды, поэтому считается ядовитым. Наиболее чувствительны к горчаку лошади. Наибольшее количество алкалоидов у горчака наблюдается на засолҰнных почвах. Установлено, что отравление вызывает не сам горчак, а грибок, поражающий его. Чаще отравления бывают при плохом травостое и сильном разрастании горчака. </w:t>
      </w:r>
    </w:p>
    <w:bookmarkStart w:name="z18" w:id="9"/>
    <w:p>
      <w:pPr>
        <w:spacing w:after="0"/>
        <w:ind w:left="0"/>
        <w:jc w:val="left"/>
      </w:pPr>
      <w:r>
        <w:rPr>
          <w:rFonts w:ascii="Times New Roman"/>
          <w:b/>
          <w:i w:val="false"/>
          <w:color w:val="000000"/>
        </w:rPr>
        <w:t xml:space="preserve"> 2.4. Лекарственные растения</w:t>
      </w:r>
    </w:p>
    <w:bookmarkEnd w:id="9"/>
    <w:p>
      <w:pPr>
        <w:spacing w:after="0"/>
        <w:ind w:left="0"/>
        <w:jc w:val="both"/>
      </w:pPr>
      <w:r>
        <w:rPr>
          <w:rFonts w:ascii="Times New Roman"/>
          <w:b w:val="false"/>
          <w:i w:val="false"/>
          <w:color w:val="000000"/>
          <w:sz w:val="28"/>
        </w:rPr>
        <w:t xml:space="preserve">
      Брунец лисохвостный (софора) - многолетнее корнеотпрысковое растение высотой 20-60 см. Стебель ветвистый, с направленными вверх ветвями, листья с овально-продолговатыми листочками, цветки кремовые или белые, слегка желтоватые, собраны в узкие колосковидные верхушечные кисти; бобы булавовидные, тҰмно-коричневые или черноватые. В траве найдено около 3% ядовитых алкалоидов. Дуст (тонкий порошок), изготовленный из сухого растения, обладает сильными инсектицидными свойствами, но токсичность его слабее анабазина. Препараты из брунца возбуждают дыхание. </w:t>
      </w:r>
    </w:p>
    <w:p>
      <w:pPr>
        <w:spacing w:after="0"/>
        <w:ind w:left="0"/>
        <w:jc w:val="both"/>
      </w:pPr>
      <w:r>
        <w:rPr>
          <w:rFonts w:ascii="Times New Roman"/>
          <w:b w:val="false"/>
          <w:i w:val="false"/>
          <w:color w:val="000000"/>
          <w:sz w:val="28"/>
        </w:rPr>
        <w:t xml:space="preserve">
      КровохлҰбка аптечная - многолетнее травянистое корневищное растение с гранҰным, вверху ветвистым стеблем высотой 20-100 см. ЦветҰт в июне-августе, плодоносит в августе-сентябре. Корни содержат до 16-17% дубильных веществ, эфирное масло, щавелевокислый кальций, крахмал, красящие вещества. В народной медицине использовалась при кровотечениях, поносах, в ветеринарии - при заболеваниях кишечника, а также как потогонное и глистогонное средство. Используется в медицине и в настоящее время, в народной медицине - при злокачественных опухолях, кожных болезнях, в гомеопатии - как гемостатическое средство при болезнях лҰгких, в гинекологии, при диарее, как ранозаживляющее, антигельминтное средство, при желудочно-кишечных заболеваниях. </w:t>
      </w:r>
    </w:p>
    <w:p>
      <w:pPr>
        <w:spacing w:after="0"/>
        <w:ind w:left="0"/>
        <w:jc w:val="both"/>
      </w:pPr>
      <w:r>
        <w:rPr>
          <w:rFonts w:ascii="Times New Roman"/>
          <w:b w:val="false"/>
          <w:i w:val="false"/>
          <w:color w:val="000000"/>
          <w:sz w:val="28"/>
        </w:rPr>
        <w:t xml:space="preserve">
      Подмаренник настоящий - многолетнее растение с ветвистым корневищем и прямыми ветвистыми стеблями высотой 15-80 см. Цветки в длинном густом метельчатом соцветии, ярко-жҰлтые, с медовым запахом. ЦветҰт с июня по сентябрь. Листья, цветки и выжатый из листьев сок имеют различное применение в народной лечебной практике. </w:t>
      </w:r>
    </w:p>
    <w:p>
      <w:pPr>
        <w:spacing w:after="0"/>
        <w:ind w:left="0"/>
        <w:jc w:val="both"/>
      </w:pPr>
      <w:r>
        <w:rPr>
          <w:rFonts w:ascii="Times New Roman"/>
          <w:b w:val="false"/>
          <w:i w:val="false"/>
          <w:color w:val="000000"/>
          <w:sz w:val="28"/>
        </w:rPr>
        <w:t xml:space="preserve">
      Тысячелистник обыкновенный - многолетнее травянистое растение высотой 20-120 см. Корневище тонкое, ползучее, разветвлҰнное. Листья ланцетовидные, двоякоперисторассечҰнные. Цветки белые, жҰлтые, розовые, красные, собраны в корзинки, образующие сложные щитки 2-15 см в диаметре. ЦветҰт с июля по сентябрь. Трава тысячелистника обладает кровоостанавливающими и противовоспалительными свойствами. </w:t>
      </w:r>
    </w:p>
    <w:p>
      <w:pPr>
        <w:spacing w:after="0"/>
        <w:ind w:left="0"/>
        <w:jc w:val="both"/>
      </w:pPr>
      <w:r>
        <w:rPr>
          <w:rFonts w:ascii="Times New Roman"/>
          <w:b w:val="false"/>
          <w:i w:val="false"/>
          <w:color w:val="000000"/>
          <w:sz w:val="28"/>
        </w:rPr>
        <w:t xml:space="preserve">
      Кермек Гмелина - многолетнее травянистое растение. ЦветҰт в июле-сентябре, плодоносит в августе-сентябре. В корнях содержит до 25% дубильных веществ. Рекомендуется к возделыванию в культуре на засолҰнных почвах для промышленных целей. Используется в медицине как вяжущее и кровоостанавливающее средство, а также при желудочно-кишечных заболеваниях. Хороший медонос, но мҰд даҰт низкого качества. </w:t>
      </w:r>
    </w:p>
    <w:p>
      <w:pPr>
        <w:spacing w:after="0"/>
        <w:ind w:left="0"/>
        <w:jc w:val="both"/>
      </w:pPr>
      <w:r>
        <w:rPr>
          <w:rFonts w:ascii="Times New Roman"/>
          <w:b w:val="false"/>
          <w:i w:val="false"/>
          <w:color w:val="000000"/>
          <w:sz w:val="28"/>
        </w:rPr>
        <w:t>
      Шиповник Беггеровский - многолетний кустарник высотой 120-180 см, с ветвями, покрытыми тонкими прямыми шипами. ЦветҰт в июне-июле. Используют зрелые плоды, когда их оранжевая окраска переходит в ярко-красную. В этот период в них содержится максимальное количество аскорбиновой кислоты. В плодах шиповника имеются дубильные вещества, минеральные соли, сахар, белки, жиры, каротин, витамины С, В1, В2, Р, РР и К, токоферолы, органические кислоты и др. Кроме витаминной активности, плоды шиповника обладают противовоспалительными, желчегонными и диуретическими свойствами. Экспериментально доказано, что вытяжка из плодов шиповника усиливает секрецию желчи и поэтому показана в комплексной терапии заболеваний печени и желчевыводящих путей. Препараты плодов шиповника применяют при острых и хронических инфекциях, атеросклерозе, заболеваниях кишечника, язвенной болезни, пневмонии, бронхопневмонии и другие.</w:t>
      </w:r>
    </w:p>
    <w:bookmarkStart w:name="z19" w:id="10"/>
    <w:p>
      <w:pPr>
        <w:spacing w:after="0"/>
        <w:ind w:left="0"/>
        <w:jc w:val="left"/>
      </w:pPr>
      <w:r>
        <w:rPr>
          <w:rFonts w:ascii="Times New Roman"/>
          <w:b/>
          <w:i w:val="false"/>
          <w:color w:val="000000"/>
        </w:rPr>
        <w:t xml:space="preserve"> 2.5. Природные кормовые угодья</w:t>
      </w:r>
    </w:p>
    <w:bookmarkEnd w:id="10"/>
    <w:p>
      <w:pPr>
        <w:spacing w:after="0"/>
        <w:ind w:left="0"/>
        <w:jc w:val="both"/>
      </w:pPr>
      <w:r>
        <w:rPr>
          <w:rFonts w:ascii="Times New Roman"/>
          <w:b w:val="false"/>
          <w:i w:val="false"/>
          <w:color w:val="000000"/>
          <w:sz w:val="28"/>
        </w:rPr>
        <w:t>
      Общая характеристика и классификация природных кормовых угодий. По природным условиям и характеру растительности территория Сарыоленского сельского округа относится к полупустынной зоне. Здесь широко распространены виды растений пустынных и каменистых степей, таких как полынь узкодольчатая, полынь белоземельная, лебеда седая, биюргун, тасбиюргун, ковыли - волосатик, сарептский, Лессинга, овсяница бороздчатая.</w:t>
      </w:r>
    </w:p>
    <w:p>
      <w:pPr>
        <w:spacing w:after="0"/>
        <w:ind w:left="0"/>
        <w:jc w:val="both"/>
      </w:pPr>
      <w:r>
        <w:rPr>
          <w:rFonts w:ascii="Times New Roman"/>
          <w:b w:val="false"/>
          <w:i w:val="false"/>
          <w:color w:val="000000"/>
          <w:sz w:val="28"/>
        </w:rPr>
        <w:t>
      Менее распространены луговые злаки и разнотравье. Распространение растительности имеет ярко выраженную зональность. На самом крайнем юге на бурых засоленных почвах и солонцах бурых распространены в основном солянковые пастбища (биюргуновые, тасбиюргуновые и кокпековые). В средней части территории округа на бурых и светло-каштановых почвах всхолмленной равнины широко распространены полынники, ковыльники (преимущественно полыни: узкодольчатая, белоземельная, из ковылей - волосатик). В северо-восточной гористой части на горных светло-каштановых почвах распространены ковыльные пастбища из ковыля волосатика и типчаковые пастбища, преимущественно на выположенных и склоновых участках. По ложбинам встречаются кустарники. В северо-западной части территории отмечается луговая растительность с преобладанием чия блестящего.</w:t>
      </w:r>
    </w:p>
    <w:p>
      <w:pPr>
        <w:spacing w:after="0"/>
        <w:ind w:left="0"/>
        <w:jc w:val="both"/>
      </w:pPr>
      <w:r>
        <w:rPr>
          <w:rFonts w:ascii="Times New Roman"/>
          <w:b w:val="false"/>
          <w:i w:val="false"/>
          <w:color w:val="000000"/>
          <w:sz w:val="28"/>
        </w:rPr>
        <w:t>
      Вся территория округа представлена главным образом пастбищами.</w:t>
      </w:r>
    </w:p>
    <w:p>
      <w:pPr>
        <w:spacing w:after="0"/>
        <w:ind w:left="0"/>
        <w:jc w:val="both"/>
      </w:pPr>
      <w:r>
        <w:rPr>
          <w:rFonts w:ascii="Times New Roman"/>
          <w:b w:val="false"/>
          <w:i w:val="false"/>
          <w:color w:val="000000"/>
          <w:sz w:val="28"/>
        </w:rPr>
        <w:t>
      Сенокосы и пахотные земли занимают небольшую часть. По долине реки Курчум в виде небольших рощ растут осина, тополь, ива и некоторые кустарники. По долинам рек и ручьев, приозерным понижениям, в депрессиях рельефа с близкими грунтовыми водами, в зависимости от минерализации этих вод, распространены злаковые, чиевые и волоснецовые пастбища и сенокосы, а также солянковые: сарсазановые, кокпековые и другие пастбища. Формируются они на лугово-бурых засоленных суглинистых почвах, солонцах лугово-бурых и солончаках луговых. Из злаков преобладают: пырей, волоснец, ажрек и тростник.</w:t>
      </w:r>
    </w:p>
    <w:p>
      <w:pPr>
        <w:spacing w:after="0"/>
        <w:ind w:left="0"/>
        <w:jc w:val="both"/>
      </w:pPr>
      <w:r>
        <w:rPr>
          <w:rFonts w:ascii="Times New Roman"/>
          <w:b w:val="false"/>
          <w:i w:val="false"/>
          <w:color w:val="000000"/>
          <w:sz w:val="28"/>
        </w:rPr>
        <w:t>
      На очень влажных участках растут осоки и тростник.</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 124 вида, относящихся к 96 родам и 27 семействам.</w:t>
      </w:r>
    </w:p>
    <w:p>
      <w:pPr>
        <w:spacing w:after="0"/>
        <w:ind w:left="0"/>
        <w:jc w:val="both"/>
      </w:pPr>
      <w:r>
        <w:rPr>
          <w:rFonts w:ascii="Times New Roman"/>
          <w:b w:val="false"/>
          <w:i w:val="false"/>
          <w:color w:val="000000"/>
          <w:sz w:val="28"/>
        </w:rPr>
        <w:t>
      По количеству видов в семействах преобладают: сложноцветные и злаковые - по 21 виду, маревые - 19 видов, бобовые - 10 видов, зонтичные - 6 видов, лилейные, розоцветные и губоцветные - по 5 видов, гречишные и гвоздичные - по 4 вида, осоковые - 3 вида, ивовые, крестоцветные, свинчатковые, норичниковые и подорожниковые - по 2 вида, остальные семейства содержат по 1 виду.</w:t>
      </w:r>
    </w:p>
    <w:p>
      <w:pPr>
        <w:spacing w:after="0"/>
        <w:ind w:left="0"/>
        <w:jc w:val="both"/>
      </w:pPr>
      <w:r>
        <w:rPr>
          <w:rFonts w:ascii="Times New Roman"/>
          <w:b w:val="false"/>
          <w:i w:val="false"/>
          <w:color w:val="000000"/>
          <w:sz w:val="28"/>
        </w:rPr>
        <w:t>
      Доминантами в растительном покрове являются 20 видов.</w:t>
      </w:r>
    </w:p>
    <w:p>
      <w:pPr>
        <w:spacing w:after="0"/>
        <w:ind w:left="0"/>
        <w:jc w:val="both"/>
      </w:pPr>
      <w:r>
        <w:rPr>
          <w:rFonts w:ascii="Times New Roman"/>
          <w:b w:val="false"/>
          <w:i w:val="false"/>
          <w:color w:val="000000"/>
          <w:sz w:val="28"/>
        </w:rPr>
        <w:t>
      Подавляющее количество видов (117 видов - 94,3%) поедается скотом, ядовитыми считаются 7 видов, лекарственных - 16 видов.</w:t>
      </w:r>
    </w:p>
    <w:p>
      <w:pPr>
        <w:spacing w:after="0"/>
        <w:ind w:left="0"/>
        <w:jc w:val="both"/>
      </w:pPr>
      <w:r>
        <w:rPr>
          <w:rFonts w:ascii="Times New Roman"/>
          <w:b w:val="false"/>
          <w:i w:val="false"/>
          <w:color w:val="000000"/>
          <w:sz w:val="28"/>
        </w:rPr>
        <w:t>
      Приведем изменения, полученные при сравнении карт геоботанических обследований 1980 года и 2022 года.</w:t>
      </w:r>
    </w:p>
    <w:p>
      <w:pPr>
        <w:spacing w:after="0"/>
        <w:ind w:left="0"/>
        <w:jc w:val="both"/>
      </w:pPr>
      <w:r>
        <w:rPr>
          <w:rFonts w:ascii="Times New Roman"/>
          <w:b w:val="false"/>
          <w:i w:val="false"/>
          <w:color w:val="000000"/>
          <w:sz w:val="28"/>
        </w:rPr>
        <w:t>
      Ранее геоботаническое обследование Сарыоленского сельского округа проводилось в 1980 году. Общая площадь территории Сарыоленского сельского округа при обследовании 1980 года составляла 132384 га. В настоящее время площадь обследования составила 104449 га. Несоответствие площадей округа в прежнем и настоящем обследовании произошло вследствие того, что северная часть сельского округа была добавлена к территории Абайского сельского округа.</w:t>
      </w:r>
    </w:p>
    <w:p>
      <w:pPr>
        <w:spacing w:after="0"/>
        <w:ind w:left="0"/>
        <w:jc w:val="both"/>
      </w:pPr>
      <w:r>
        <w:rPr>
          <w:rFonts w:ascii="Times New Roman"/>
          <w:b w:val="false"/>
          <w:i w:val="false"/>
          <w:color w:val="000000"/>
          <w:sz w:val="28"/>
        </w:rPr>
        <w:t>
      В 2022 году площадь пастбищ составила 90681 га, а в обследовании 1980 года - 101698 га.</w:t>
      </w:r>
    </w:p>
    <w:p>
      <w:pPr>
        <w:spacing w:after="0"/>
        <w:ind w:left="0"/>
        <w:jc w:val="both"/>
      </w:pPr>
      <w:r>
        <w:rPr>
          <w:rFonts w:ascii="Times New Roman"/>
          <w:b w:val="false"/>
          <w:i w:val="false"/>
          <w:color w:val="000000"/>
          <w:sz w:val="28"/>
        </w:rPr>
        <w:t>
      В северной части Сарыоленского сельского округа на луговых почвах особых изменений не произошло, здесь также преобладают злаковые (чий блестящий, пырей ползучий, волоснец узкий), разнотравные (солодка голая, клевер луговой), сорнотравные (молочай мелкоплодный, бузульник сибирский, брунецлисохвостный) сенокосы и пастбища. В обследовании 1980 года под сенокосными угодьями было занято 4073 га, в настоящее время - 2337 га.</w:t>
      </w:r>
    </w:p>
    <w:p>
      <w:pPr>
        <w:spacing w:after="0"/>
        <w:ind w:left="0"/>
        <w:jc w:val="both"/>
      </w:pPr>
      <w:r>
        <w:rPr>
          <w:rFonts w:ascii="Times New Roman"/>
          <w:b w:val="false"/>
          <w:i w:val="false"/>
          <w:color w:val="000000"/>
          <w:sz w:val="28"/>
        </w:rPr>
        <w:t>
      В обследовании 1980 года в северо-западной и западной части сельского округа большие участки территории относились к пашням, в настоящее время эти участки сохранились, только некоторые перешли в пастбища и заняты дерновиннозлаковыми и полынными сообществами с преобладанием овсяницы бороздчатой (типчака), полыни узкодольчатой, реже кустарниковыми пастбищами.</w:t>
      </w:r>
    </w:p>
    <w:p>
      <w:pPr>
        <w:spacing w:after="0"/>
        <w:ind w:left="0"/>
        <w:jc w:val="both"/>
      </w:pPr>
      <w:r>
        <w:rPr>
          <w:rFonts w:ascii="Times New Roman"/>
          <w:b w:val="false"/>
          <w:i w:val="false"/>
          <w:color w:val="000000"/>
          <w:sz w:val="28"/>
        </w:rPr>
        <w:t>
      В центральной и восточной горной части раньше преобладали ковыльники, а сейчас доминируют типчаковые пастбища. В центральной равнинной части сельского округа полынные пастбища с преобладанием полыней узкодольчатой, белоземельной и холодной не изменились. Солянковые пастбища сократились за счет доминирования полынников и затырсованных пастбищ.</w:t>
      </w:r>
    </w:p>
    <w:p>
      <w:pPr>
        <w:spacing w:after="0"/>
        <w:ind w:left="0"/>
        <w:jc w:val="both"/>
      </w:pPr>
      <w:r>
        <w:rPr>
          <w:rFonts w:ascii="Times New Roman"/>
          <w:b w:val="false"/>
          <w:i w:val="false"/>
          <w:color w:val="000000"/>
          <w:sz w:val="28"/>
        </w:rPr>
        <w:t>
      В обследовании 1980 года южная и юго-восточная часть Сарыоленского сельского округа была занята луговыми пастбищами с преобладанием мягкостебельных злаков (пырея, ячменя и мятлика), в настоящее время здесь доминируют группировки с преобладанием грубостебельных злаков (тростник, чий и волоснец).</w:t>
      </w:r>
    </w:p>
    <w:p>
      <w:pPr>
        <w:spacing w:after="0"/>
        <w:ind w:left="0"/>
        <w:jc w:val="both"/>
      </w:pPr>
      <w:r>
        <w:rPr>
          <w:rFonts w:ascii="Times New Roman"/>
          <w:b w:val="false"/>
          <w:i w:val="false"/>
          <w:color w:val="000000"/>
          <w:sz w:val="28"/>
        </w:rPr>
        <w:t>
      Солянковые пастбища с преобладанием биюргуна, тасбиюргуна, кокпека и сарсазана в настоящее время сохранились и только местами изменились в контурах как доминанты и субдоминанты.</w:t>
      </w:r>
    </w:p>
    <w:p>
      <w:pPr>
        <w:spacing w:after="0"/>
        <w:ind w:left="0"/>
        <w:jc w:val="both"/>
      </w:pPr>
      <w:r>
        <w:rPr>
          <w:rFonts w:ascii="Times New Roman"/>
          <w:b w:val="false"/>
          <w:i w:val="false"/>
          <w:color w:val="000000"/>
          <w:sz w:val="28"/>
        </w:rPr>
        <w:t>
      В целом на территории Сарыоленского сельского округа наблюдаются значительные изменения степных и горных травостоев в растительном покрове, при этом сохранились осенние пастбища с преобладанием солянок.</w:t>
      </w:r>
    </w:p>
    <w:p>
      <w:pPr>
        <w:spacing w:after="0"/>
        <w:ind w:left="0"/>
        <w:jc w:val="both"/>
      </w:pPr>
      <w:r>
        <w:rPr>
          <w:rFonts w:ascii="Times New Roman"/>
          <w:b w:val="false"/>
          <w:i w:val="false"/>
          <w:color w:val="000000"/>
          <w:sz w:val="28"/>
        </w:rPr>
        <w:t>
      При сравнении культуротехнического состояния обследований 1980 и 2022 годов были выявлены следующие изменения: в 1980 году площадь чистых пастбищ была 89997 га (85,1%), закустаренных - 9943 га (9,4%), сбитых - 1223 га (1,2%), засоренных - 1131 га (1,1%); в обследовании 2022 года площадь чистых пастбищ составила 50122 га (55,3%), закустаренных - 10038 га (11,1%), сбитых - 2240 га (2,5%), засоренных - 7105 га (7,8%), затырсованных - 21176 га (23,4%).</w:t>
      </w:r>
    </w:p>
    <w:p>
      <w:pPr>
        <w:spacing w:after="0"/>
        <w:ind w:left="0"/>
        <w:jc w:val="both"/>
      </w:pPr>
      <w:r>
        <w:rPr>
          <w:rFonts w:ascii="Times New Roman"/>
          <w:b w:val="false"/>
          <w:i w:val="false"/>
          <w:color w:val="000000"/>
          <w:sz w:val="28"/>
        </w:rPr>
        <w:t>
      Увеличение площади сбитых пастбищ указывает на перевыпас скота, в результате которого появились деградированные (сбитые и засоренные) пастбища.</w:t>
      </w:r>
    </w:p>
    <w:p>
      <w:pPr>
        <w:spacing w:after="0"/>
        <w:ind w:left="0"/>
        <w:jc w:val="both"/>
      </w:pPr>
      <w:r>
        <w:rPr>
          <w:rFonts w:ascii="Times New Roman"/>
          <w:b w:val="false"/>
          <w:i w:val="false"/>
          <w:color w:val="000000"/>
          <w:sz w:val="28"/>
        </w:rPr>
        <w:t>
      Рекомендуется сократить пастбищную нагрузку и провести мероприятия по борьбе с сорной растительностью.</w:t>
      </w:r>
    </w:p>
    <w:p>
      <w:pPr>
        <w:spacing w:after="0"/>
        <w:ind w:left="0"/>
        <w:jc w:val="both"/>
      </w:pPr>
      <w:r>
        <w:rPr>
          <w:rFonts w:ascii="Times New Roman"/>
          <w:b w:val="false"/>
          <w:i w:val="false"/>
          <w:color w:val="000000"/>
          <w:sz w:val="28"/>
        </w:rPr>
        <w:t>
      Увеличение затырсованных пастбищ объясняется тем, что в 1980 году центральная часть территории была занята пашнями, а в 2022 году эти участки заменились пастбищами с преобладанием ковыля волосатика (тырсы).</w:t>
      </w:r>
    </w:p>
    <w:p>
      <w:pPr>
        <w:spacing w:after="0"/>
        <w:ind w:left="0"/>
        <w:jc w:val="both"/>
      </w:pPr>
      <w:r>
        <w:rPr>
          <w:rFonts w:ascii="Times New Roman"/>
          <w:b w:val="false"/>
          <w:i w:val="false"/>
          <w:color w:val="000000"/>
          <w:sz w:val="28"/>
        </w:rPr>
        <w:t>
      Согласно классификации природных кормовых угодий Республики Казахстан, природные кормовые угодья в границах изысканий представлены низкогорными степными пастбищами на темно-каштановых малоразвитых и неполноразвитых почвах, светло-каштановых малоразвитых и неполноразвитых почвах; низинными луговыми пастбищами на луговых светло-каштановых солончаковатых и солончаках луговых; предгорными пастбищами на светло-каштановых обычных, неполно- и малоразвитых, бурых обычных и неполноразвитых почвах; предгорными низинными луговыми пастбищами на луговых, лугово-светло-каштановых солончаковатых, солонцеватых, лугово-бурых солонцеватых, солонцах лугово-бурых и солончаках луговых.</w:t>
      </w:r>
    </w:p>
    <w:p>
      <w:pPr>
        <w:spacing w:after="0"/>
        <w:ind w:left="0"/>
        <w:jc w:val="both"/>
      </w:pPr>
      <w:r>
        <w:rPr>
          <w:rFonts w:ascii="Times New Roman"/>
          <w:b w:val="false"/>
          <w:i w:val="false"/>
          <w:color w:val="000000"/>
          <w:sz w:val="28"/>
        </w:rPr>
        <w:t>
      Каждый из указанных классов разделяется на подклассы, объединяющие кормовые угодья, сходные по положению в рельефе, степени увлажненности, типу почв и их механическому составу.</w:t>
      </w:r>
    </w:p>
    <w:p>
      <w:pPr>
        <w:spacing w:after="0"/>
        <w:ind w:left="0"/>
        <w:jc w:val="both"/>
      </w:pPr>
      <w:r>
        <w:rPr>
          <w:rFonts w:ascii="Times New Roman"/>
          <w:b w:val="false"/>
          <w:i w:val="false"/>
          <w:color w:val="000000"/>
          <w:sz w:val="28"/>
        </w:rPr>
        <w:t>
      В процессе обследования выделены 54 типа растительных сообществ, 38 подтипов и 20 модификаций. Типы систематизированы в 28 групп, описание которых приводится ниже.</w:t>
      </w:r>
    </w:p>
    <w:p>
      <w:pPr>
        <w:spacing w:after="0"/>
        <w:ind w:left="0"/>
        <w:jc w:val="both"/>
      </w:pPr>
      <w:r>
        <w:rPr>
          <w:rFonts w:ascii="Times New Roman"/>
          <w:b w:val="false"/>
          <w:i w:val="false"/>
          <w:color w:val="000000"/>
          <w:sz w:val="28"/>
        </w:rPr>
        <w:t>
      Типы при отсутствии коренной растительности называются антропогенными и помечаются звездочкой.</w:t>
      </w:r>
    </w:p>
    <w:bookmarkStart w:name="z20" w:id="11"/>
    <w:p>
      <w:pPr>
        <w:spacing w:after="0"/>
        <w:ind w:left="0"/>
        <w:jc w:val="left"/>
      </w:pPr>
      <w:r>
        <w:rPr>
          <w:rFonts w:ascii="Times New Roman"/>
          <w:b/>
          <w:i w:val="false"/>
          <w:color w:val="000000"/>
        </w:rPr>
        <w:t xml:space="preserve"> 3. ПОЧВЫ</w:t>
      </w:r>
    </w:p>
    <w:bookmarkEnd w:id="11"/>
    <w:p>
      <w:pPr>
        <w:spacing w:after="0"/>
        <w:ind w:left="0"/>
        <w:jc w:val="both"/>
      </w:pPr>
      <w:r>
        <w:rPr>
          <w:rFonts w:ascii="Times New Roman"/>
          <w:b w:val="false"/>
          <w:i w:val="false"/>
          <w:color w:val="000000"/>
          <w:sz w:val="28"/>
        </w:rPr>
        <w:t>
      Согласно схеме "Природно-сельскохозяйственного районирования земельного фонда Казахстана" обследованная территория расположена в полупустынной зоне Зайсанской провинции, Зайсанском округе.</w:t>
      </w:r>
    </w:p>
    <w:p>
      <w:pPr>
        <w:spacing w:after="0"/>
        <w:ind w:left="0"/>
        <w:jc w:val="both"/>
      </w:pPr>
      <w:r>
        <w:rPr>
          <w:rFonts w:ascii="Times New Roman"/>
          <w:b w:val="false"/>
          <w:i w:val="false"/>
          <w:color w:val="000000"/>
          <w:sz w:val="28"/>
        </w:rPr>
        <w:t>
      Согласно "Систематическому списку и основным диагностическим показателям почв горных и предгорных территорий Казахстана" (Алма-Ата, 1989 г.), на землях Сарыоленского сельского округа выделены следующие типы, подтипы и роды почв:</w:t>
      </w:r>
    </w:p>
    <w:p>
      <w:pPr>
        <w:spacing w:after="0"/>
        <w:ind w:left="0"/>
        <w:jc w:val="both"/>
      </w:pPr>
      <w:r>
        <w:rPr>
          <w:rFonts w:ascii="Times New Roman"/>
          <w:b w:val="false"/>
          <w:i w:val="false"/>
          <w:color w:val="000000"/>
          <w:sz w:val="28"/>
        </w:rPr>
        <w:t>
      - светло-каштановые обычные;</w:t>
      </w:r>
    </w:p>
    <w:p>
      <w:pPr>
        <w:spacing w:after="0"/>
        <w:ind w:left="0"/>
        <w:jc w:val="both"/>
      </w:pPr>
      <w:r>
        <w:rPr>
          <w:rFonts w:ascii="Times New Roman"/>
          <w:b w:val="false"/>
          <w:i w:val="false"/>
          <w:color w:val="000000"/>
          <w:sz w:val="28"/>
        </w:rPr>
        <w:t>
      - светло-каштановые неполно- и малоразвитые;</w:t>
      </w:r>
    </w:p>
    <w:p>
      <w:pPr>
        <w:spacing w:after="0"/>
        <w:ind w:left="0"/>
        <w:jc w:val="both"/>
      </w:pPr>
      <w:r>
        <w:rPr>
          <w:rFonts w:ascii="Times New Roman"/>
          <w:b w:val="false"/>
          <w:i w:val="false"/>
          <w:color w:val="000000"/>
          <w:sz w:val="28"/>
        </w:rPr>
        <w:t>
      - луговые светло-каштановые обычные;</w:t>
      </w:r>
    </w:p>
    <w:p>
      <w:pPr>
        <w:spacing w:after="0"/>
        <w:ind w:left="0"/>
        <w:jc w:val="both"/>
      </w:pPr>
      <w:r>
        <w:rPr>
          <w:rFonts w:ascii="Times New Roman"/>
          <w:b w:val="false"/>
          <w:i w:val="false"/>
          <w:color w:val="000000"/>
          <w:sz w:val="28"/>
        </w:rPr>
        <w:t>
      - лугово-светло-каштановые солончаковые и солонцеватые;</w:t>
      </w:r>
    </w:p>
    <w:p>
      <w:pPr>
        <w:spacing w:after="0"/>
        <w:ind w:left="0"/>
        <w:jc w:val="both"/>
      </w:pPr>
      <w:r>
        <w:rPr>
          <w:rFonts w:ascii="Times New Roman"/>
          <w:b w:val="false"/>
          <w:i w:val="false"/>
          <w:color w:val="000000"/>
          <w:sz w:val="28"/>
        </w:rPr>
        <w:t>
      - бурые обычные;</w:t>
      </w:r>
    </w:p>
    <w:p>
      <w:pPr>
        <w:spacing w:after="0"/>
        <w:ind w:left="0"/>
        <w:jc w:val="both"/>
      </w:pPr>
      <w:r>
        <w:rPr>
          <w:rFonts w:ascii="Times New Roman"/>
          <w:b w:val="false"/>
          <w:i w:val="false"/>
          <w:color w:val="000000"/>
          <w:sz w:val="28"/>
        </w:rPr>
        <w:t>
      - бурые солонцеватые;</w:t>
      </w:r>
    </w:p>
    <w:p>
      <w:pPr>
        <w:spacing w:after="0"/>
        <w:ind w:left="0"/>
        <w:jc w:val="both"/>
      </w:pPr>
      <w:r>
        <w:rPr>
          <w:rFonts w:ascii="Times New Roman"/>
          <w:b w:val="false"/>
          <w:i w:val="false"/>
          <w:color w:val="000000"/>
          <w:sz w:val="28"/>
        </w:rPr>
        <w:t>
      - лугово-бурые солонцеватые;</w:t>
      </w:r>
    </w:p>
    <w:p>
      <w:pPr>
        <w:spacing w:after="0"/>
        <w:ind w:left="0"/>
        <w:jc w:val="both"/>
      </w:pPr>
      <w:r>
        <w:rPr>
          <w:rFonts w:ascii="Times New Roman"/>
          <w:b w:val="false"/>
          <w:i w:val="false"/>
          <w:color w:val="000000"/>
          <w:sz w:val="28"/>
        </w:rPr>
        <w:t>
      - солонцы бурые;</w:t>
      </w:r>
    </w:p>
    <w:p>
      <w:pPr>
        <w:spacing w:after="0"/>
        <w:ind w:left="0"/>
        <w:jc w:val="both"/>
      </w:pPr>
      <w:r>
        <w:rPr>
          <w:rFonts w:ascii="Times New Roman"/>
          <w:b w:val="false"/>
          <w:i w:val="false"/>
          <w:color w:val="000000"/>
          <w:sz w:val="28"/>
        </w:rPr>
        <w:t>
      - солонцы лугово-бурые;</w:t>
      </w:r>
    </w:p>
    <w:p>
      <w:pPr>
        <w:spacing w:after="0"/>
        <w:ind w:left="0"/>
        <w:jc w:val="both"/>
      </w:pPr>
      <w:r>
        <w:rPr>
          <w:rFonts w:ascii="Times New Roman"/>
          <w:b w:val="false"/>
          <w:i w:val="false"/>
          <w:color w:val="000000"/>
          <w:sz w:val="28"/>
        </w:rPr>
        <w:t>
      - солончаки луговые.</w:t>
      </w:r>
    </w:p>
    <w:p>
      <w:pPr>
        <w:spacing w:after="0"/>
        <w:ind w:left="0"/>
        <w:jc w:val="both"/>
      </w:pPr>
      <w:r>
        <w:rPr>
          <w:rFonts w:ascii="Times New Roman"/>
          <w:b w:val="false"/>
          <w:i w:val="false"/>
          <w:color w:val="000000"/>
          <w:sz w:val="28"/>
        </w:rPr>
        <w:t>
      Ниже приводится характеристика вышеуказанных почв.</w:t>
      </w:r>
    </w:p>
    <w:p>
      <w:pPr>
        <w:spacing w:after="0"/>
        <w:ind w:left="0"/>
        <w:jc w:val="both"/>
      </w:pPr>
      <w:r>
        <w:rPr>
          <w:rFonts w:ascii="Times New Roman"/>
          <w:b w:val="false"/>
          <w:i w:val="false"/>
          <w:color w:val="000000"/>
          <w:sz w:val="28"/>
        </w:rPr>
        <w:t>
      Светло-каштановые обычные почвы - почвообразующими породами служат чаще всего лессы и лессовидные суглинки, подстилаемые на значительной глубине щебнистыми элювиально-делювиальными отложениями; нередко почвы формируются на элювиально-делювиальных отложениях. По механическому составу почвы суглинистые.</w:t>
      </w:r>
    </w:p>
    <w:p>
      <w:pPr>
        <w:spacing w:after="0"/>
        <w:ind w:left="0"/>
        <w:jc w:val="both"/>
      </w:pPr>
      <w:r>
        <w:rPr>
          <w:rFonts w:ascii="Times New Roman"/>
          <w:b w:val="false"/>
          <w:i w:val="false"/>
          <w:color w:val="000000"/>
          <w:sz w:val="28"/>
        </w:rPr>
        <w:t>
       Растительный покров представлен дерновинно-злаково-узкодольчато-полынными, тырсово-типчаково-узкодольчато-полынными и дерновинно-злаково-узкодольчато-полынно-изеневыми типами.</w:t>
      </w:r>
    </w:p>
    <w:p>
      <w:pPr>
        <w:spacing w:after="0"/>
        <w:ind w:left="0"/>
        <w:jc w:val="both"/>
      </w:pPr>
      <w:r>
        <w:rPr>
          <w:rFonts w:ascii="Times New Roman"/>
          <w:b w:val="false"/>
          <w:i w:val="false"/>
          <w:color w:val="000000"/>
          <w:sz w:val="28"/>
        </w:rPr>
        <w:t>
       Содержание гумуса в верхнем горизонте светло-каштановых обычных почв в среднем составляет 2 %, колеблясь в пределах 1,3-2,6 %, и уменьшается в горизонте В1 до 1,4 % с колебаниями в пределах 1,3-2,1 %. В горизонте В2 эта величина почти не меняется (средняя величина - 1,2 %); в горизонте ВС содержание гумуса колеблется в пределах 0,3-1,1 %, в среднем составляя 0,8 %.</w:t>
      </w:r>
    </w:p>
    <w:p>
      <w:pPr>
        <w:spacing w:after="0"/>
        <w:ind w:left="0"/>
        <w:jc w:val="both"/>
      </w:pPr>
      <w:r>
        <w:rPr>
          <w:rFonts w:ascii="Times New Roman"/>
          <w:b w:val="false"/>
          <w:i w:val="false"/>
          <w:color w:val="000000"/>
          <w:sz w:val="28"/>
        </w:rPr>
        <w:t>
       Мощность гумусовых горизонтов, как и профиля в целом, уменьшена по сравнению с несмытыми выщелоченными черноземами. Так, средняя мощность горизонтов А+В составляет 48 см с колебаниями в пределах 42-58 см, а общая мощность почвенного профиля колеблется в пределах 64-98 см, составляя в среднем 80 см.</w:t>
      </w:r>
    </w:p>
    <w:p>
      <w:pPr>
        <w:spacing w:after="0"/>
        <w:ind w:left="0"/>
        <w:jc w:val="both"/>
      </w:pPr>
      <w:r>
        <w:rPr>
          <w:rFonts w:ascii="Times New Roman"/>
          <w:b w:val="false"/>
          <w:i w:val="false"/>
          <w:color w:val="000000"/>
          <w:sz w:val="28"/>
        </w:rPr>
        <w:t>
      Участки с характеризуемыми почвами используются как пастбищные угодья.</w:t>
      </w:r>
    </w:p>
    <w:p>
      <w:pPr>
        <w:spacing w:after="0"/>
        <w:ind w:left="0"/>
        <w:jc w:val="both"/>
      </w:pPr>
      <w:r>
        <w:rPr>
          <w:rFonts w:ascii="Times New Roman"/>
          <w:b w:val="false"/>
          <w:i w:val="false"/>
          <w:color w:val="000000"/>
          <w:sz w:val="28"/>
        </w:rPr>
        <w:t>
       Светло-каштановые неполно- и малоразвитые почвы - приурочены к выровненным поверхностям предгорных равнин, покатым склонам и платообразным вершинам увалов, а также к волнисто-холмистым поверхностям низкогорий.</w:t>
      </w:r>
    </w:p>
    <w:p>
      <w:pPr>
        <w:spacing w:after="0"/>
        <w:ind w:left="0"/>
        <w:jc w:val="both"/>
      </w:pPr>
      <w:r>
        <w:rPr>
          <w:rFonts w:ascii="Times New Roman"/>
          <w:b w:val="false"/>
          <w:i w:val="false"/>
          <w:color w:val="000000"/>
          <w:sz w:val="28"/>
        </w:rPr>
        <w:t>
       Они развиваются на склонах различных экспозиций низкогорий и увалисто-волнистых наклонных предгорных равнинах.</w:t>
      </w:r>
    </w:p>
    <w:p>
      <w:pPr>
        <w:spacing w:after="0"/>
        <w:ind w:left="0"/>
        <w:jc w:val="both"/>
      </w:pPr>
      <w:r>
        <w:rPr>
          <w:rFonts w:ascii="Times New Roman"/>
          <w:b w:val="false"/>
          <w:i w:val="false"/>
          <w:color w:val="000000"/>
          <w:sz w:val="28"/>
        </w:rPr>
        <w:t>
       Естественный растительный покров представлен дерновинно-злаково-узкодольчато-полынными, типчаково-тырсово-полынными, типчаково-полынными, кустарниково-дерновинно-злаково-разнотравными, кустарниково-дерновинно-злаково-узкодольчато-полынными, узкодольчато-полынными и другими сообществами.</w:t>
      </w:r>
    </w:p>
    <w:p>
      <w:pPr>
        <w:spacing w:after="0"/>
        <w:ind w:left="0"/>
        <w:jc w:val="both"/>
      </w:pPr>
      <w:r>
        <w:rPr>
          <w:rFonts w:ascii="Times New Roman"/>
          <w:b w:val="false"/>
          <w:i w:val="false"/>
          <w:color w:val="000000"/>
          <w:sz w:val="28"/>
        </w:rPr>
        <w:t>
       Почвообразующие породы залегают в пределах 40 см и выше от поверхности почв и представлены плотными породами или их рухляком.</w:t>
      </w:r>
    </w:p>
    <w:p>
      <w:pPr>
        <w:spacing w:after="0"/>
        <w:ind w:left="0"/>
        <w:jc w:val="both"/>
      </w:pPr>
      <w:r>
        <w:rPr>
          <w:rFonts w:ascii="Times New Roman"/>
          <w:b w:val="false"/>
          <w:i w:val="false"/>
          <w:color w:val="000000"/>
          <w:sz w:val="28"/>
        </w:rPr>
        <w:t>
       Содержание гумуса в горизонте А колеблется в пределах 1,3-2,5 % при среднем значении 1,6 %. Уменьшение его содержания с глубиной постепенное. В связи с сильной скелетностью характеризуемых почв общий запас гумуса значительно меньше по сравнению с полнопрофильными вариантами.</w:t>
      </w:r>
    </w:p>
    <w:p>
      <w:pPr>
        <w:spacing w:after="0"/>
        <w:ind w:left="0"/>
        <w:jc w:val="both"/>
      </w:pPr>
      <w:r>
        <w:rPr>
          <w:rFonts w:ascii="Times New Roman"/>
          <w:b w:val="false"/>
          <w:i w:val="false"/>
          <w:color w:val="000000"/>
          <w:sz w:val="28"/>
        </w:rPr>
        <w:t>
       Мощность гумусовых горизонтов, как и профиля в целом, уменьшена по сравнению с несмытыми выщелоченными черноземами. Так, средняя мощность горизонтов А+В составляет 48 см с колебаниями в пределах 42-58 см, а общая мощность почвенного профиля колеблется в пределах 64-98 см, составляя в среднем 80 см.</w:t>
      </w:r>
    </w:p>
    <w:p>
      <w:pPr>
        <w:spacing w:after="0"/>
        <w:ind w:left="0"/>
        <w:jc w:val="both"/>
      </w:pPr>
      <w:r>
        <w:rPr>
          <w:rFonts w:ascii="Times New Roman"/>
          <w:b w:val="false"/>
          <w:i w:val="false"/>
          <w:color w:val="000000"/>
          <w:sz w:val="28"/>
        </w:rPr>
        <w:t>
       Данные почвы используются в качестве пастбищ.</w:t>
      </w:r>
    </w:p>
    <w:p>
      <w:pPr>
        <w:spacing w:after="0"/>
        <w:ind w:left="0"/>
        <w:jc w:val="both"/>
      </w:pPr>
      <w:r>
        <w:rPr>
          <w:rFonts w:ascii="Times New Roman"/>
          <w:b w:val="false"/>
          <w:i w:val="false"/>
          <w:color w:val="000000"/>
          <w:sz w:val="28"/>
        </w:rPr>
        <w:t>
      Луговые светло-каштановые обычные почвы - почвы этого типа формируются в подзоне светло-каштановых почв на относительно пониженных участках, в местах с повышенным увлажнением за счет временного скопления вод поверхностного или внутрипочвенного бокового стока, а также в местах с неглубоким залеганием (3-6 м) грунтовых вод.</w:t>
      </w:r>
    </w:p>
    <w:p>
      <w:pPr>
        <w:spacing w:after="0"/>
        <w:ind w:left="0"/>
        <w:jc w:val="both"/>
      </w:pPr>
      <w:r>
        <w:rPr>
          <w:rFonts w:ascii="Times New Roman"/>
          <w:b w:val="false"/>
          <w:i w:val="false"/>
          <w:color w:val="000000"/>
          <w:sz w:val="28"/>
        </w:rPr>
        <w:t>
       Почвообразующими породами служат те же отложения, что и на соответствующих автоморфных почвах.</w:t>
      </w:r>
    </w:p>
    <w:p>
      <w:pPr>
        <w:spacing w:after="0"/>
        <w:ind w:left="0"/>
        <w:jc w:val="both"/>
      </w:pPr>
      <w:r>
        <w:rPr>
          <w:rFonts w:ascii="Times New Roman"/>
          <w:b w:val="false"/>
          <w:i w:val="false"/>
          <w:color w:val="000000"/>
          <w:sz w:val="28"/>
        </w:rPr>
        <w:t>
       Почвы распространены мелкими пятнами в западной части Сарыоленского сельского округа и приурочены к отрицательным формам рельефа: днищам балок, логов, межувалистым замкнутым понижениям.</w:t>
      </w:r>
    </w:p>
    <w:p>
      <w:pPr>
        <w:spacing w:after="0"/>
        <w:ind w:left="0"/>
        <w:jc w:val="both"/>
      </w:pPr>
      <w:r>
        <w:rPr>
          <w:rFonts w:ascii="Times New Roman"/>
          <w:b w:val="false"/>
          <w:i w:val="false"/>
          <w:color w:val="000000"/>
          <w:sz w:val="28"/>
        </w:rPr>
        <w:t>
       Растительный покров представлен злаково-осоково-разнотравными ассоциациями.</w:t>
      </w:r>
    </w:p>
    <w:p>
      <w:pPr>
        <w:spacing w:after="0"/>
        <w:ind w:left="0"/>
        <w:jc w:val="both"/>
      </w:pPr>
      <w:r>
        <w:rPr>
          <w:rFonts w:ascii="Times New Roman"/>
          <w:b w:val="false"/>
          <w:i w:val="false"/>
          <w:color w:val="000000"/>
          <w:sz w:val="28"/>
        </w:rPr>
        <w:t>
      Для данных почв характерны наличие признаков оглеения в профиле или породе; мощность гумусового горизонта А+В - 41 см и более; отсутствие или слабое проявление солонцеватости в горизонте В; отсутствие засоления легкорастворимыми солями в токсичных концентрациях в слое 0-150 см; вскипание от соляной кислоты в горизонте В.</w:t>
      </w:r>
    </w:p>
    <w:p>
      <w:pPr>
        <w:spacing w:after="0"/>
        <w:ind w:left="0"/>
        <w:jc w:val="both"/>
      </w:pPr>
      <w:r>
        <w:rPr>
          <w:rFonts w:ascii="Times New Roman"/>
          <w:b w:val="false"/>
          <w:i w:val="false"/>
          <w:color w:val="000000"/>
          <w:sz w:val="28"/>
        </w:rPr>
        <w:t>
       Описанные почвы используются в качестве пастбищ и сенокосов.</w:t>
      </w:r>
    </w:p>
    <w:p>
      <w:pPr>
        <w:spacing w:after="0"/>
        <w:ind w:left="0"/>
        <w:jc w:val="both"/>
      </w:pPr>
      <w:r>
        <w:rPr>
          <w:rFonts w:ascii="Times New Roman"/>
          <w:b w:val="false"/>
          <w:i w:val="false"/>
          <w:color w:val="000000"/>
          <w:sz w:val="28"/>
        </w:rPr>
        <w:t>
      Лугово-светло-каштановые солончаковые и солонцеватые почвы - распространены данные почвы в северных, северо-западных и центральных частях округа. Формирование их связано с неглубоко залегающими минерализованными грунтовыми водами или значительным засолением почвообразующих пород при явном преобладании выпотного режима увлажнения над промывным.</w:t>
      </w:r>
    </w:p>
    <w:p>
      <w:pPr>
        <w:spacing w:after="0"/>
        <w:ind w:left="0"/>
        <w:jc w:val="both"/>
      </w:pPr>
      <w:r>
        <w:rPr>
          <w:rFonts w:ascii="Times New Roman"/>
          <w:b w:val="false"/>
          <w:i w:val="false"/>
          <w:color w:val="000000"/>
          <w:sz w:val="28"/>
        </w:rPr>
        <w:t>
      Растительность представлена следующими типами: злаково-осоковыми, злаково-осоково-разнотравными, волоснецово-сорнотравными, тростниковыми, злаково-разнотравными, чиево-шренковскополынными, чиево-брунцовыми, чиево-камфоросмово-бескильницевыми и другими.</w:t>
      </w:r>
    </w:p>
    <w:p>
      <w:pPr>
        <w:spacing w:after="0"/>
        <w:ind w:left="0"/>
        <w:jc w:val="both"/>
      </w:pPr>
      <w:r>
        <w:rPr>
          <w:rFonts w:ascii="Times New Roman"/>
          <w:b w:val="false"/>
          <w:i w:val="false"/>
          <w:color w:val="000000"/>
          <w:sz w:val="28"/>
        </w:rPr>
        <w:t>
       Характеризуются наличием водорастворимых солей в слое 0-30 см, количество которых соответствует слабой степени засоления.</w:t>
      </w:r>
    </w:p>
    <w:p>
      <w:pPr>
        <w:spacing w:after="0"/>
        <w:ind w:left="0"/>
        <w:jc w:val="both"/>
      </w:pPr>
      <w:r>
        <w:rPr>
          <w:rFonts w:ascii="Times New Roman"/>
          <w:b w:val="false"/>
          <w:i w:val="false"/>
          <w:color w:val="000000"/>
          <w:sz w:val="28"/>
        </w:rPr>
        <w:t>
       Для данных почв характерны наличие признаков оглеения в породе или профиле; содержание поглощенного натрия в горизонте В составляет 5-15 % от суммы; мощность гумусового горизонта А+В - 40 см и менее; вскипание наблюдается в любой части профиля; отсутствует засоление водорастворимыми солями в токсичных концентрациях в слое 0-150 см.</w:t>
      </w:r>
    </w:p>
    <w:p>
      <w:pPr>
        <w:spacing w:after="0"/>
        <w:ind w:left="0"/>
        <w:jc w:val="both"/>
      </w:pPr>
      <w:r>
        <w:rPr>
          <w:rFonts w:ascii="Times New Roman"/>
          <w:b w:val="false"/>
          <w:i w:val="false"/>
          <w:color w:val="000000"/>
          <w:sz w:val="28"/>
        </w:rPr>
        <w:t>
      Рассматриваемые почвы используются в качестве пастбищ и сенокосов.</w:t>
      </w:r>
    </w:p>
    <w:p>
      <w:pPr>
        <w:spacing w:after="0"/>
        <w:ind w:left="0"/>
        <w:jc w:val="both"/>
      </w:pPr>
      <w:r>
        <w:rPr>
          <w:rFonts w:ascii="Times New Roman"/>
          <w:b w:val="false"/>
          <w:i w:val="false"/>
          <w:color w:val="000000"/>
          <w:sz w:val="28"/>
        </w:rPr>
        <w:t>
      Бурые обычные - бурые почвы занимают небольшие пространства в восточной части Сарыоленского сельского округа.</w:t>
      </w:r>
    </w:p>
    <w:p>
      <w:pPr>
        <w:spacing w:after="0"/>
        <w:ind w:left="0"/>
        <w:jc w:val="both"/>
      </w:pPr>
      <w:r>
        <w:rPr>
          <w:rFonts w:ascii="Times New Roman"/>
          <w:b w:val="false"/>
          <w:i w:val="false"/>
          <w:color w:val="000000"/>
          <w:sz w:val="28"/>
        </w:rPr>
        <w:t>
      Почвообразующие породы довольно разнообразны и представлены песчаными и супесчаными древнеаллювиальными отложениями, зачастую перевеянными в более позднее время, двучленными суглинисто-галечниковыми наносами (незасоленными или гипсоносными), а также цветными, частью плотными и песчаными третичными глинами, в основном гипсоносными и засоленными.</w:t>
      </w:r>
    </w:p>
    <w:p>
      <w:pPr>
        <w:spacing w:after="0"/>
        <w:ind w:left="0"/>
        <w:jc w:val="both"/>
      </w:pPr>
      <w:r>
        <w:rPr>
          <w:rFonts w:ascii="Times New Roman"/>
          <w:b w:val="false"/>
          <w:i w:val="false"/>
          <w:color w:val="000000"/>
          <w:sz w:val="28"/>
        </w:rPr>
        <w:t>
      Растительный покров представлен дерновинно-злаково-узкодольчато-полынными и узкодольчато-полынными типами.</w:t>
      </w:r>
    </w:p>
    <w:p>
      <w:pPr>
        <w:spacing w:after="0"/>
        <w:ind w:left="0"/>
        <w:jc w:val="both"/>
      </w:pPr>
      <w:r>
        <w:rPr>
          <w:rFonts w:ascii="Times New Roman"/>
          <w:b w:val="false"/>
          <w:i w:val="false"/>
          <w:color w:val="000000"/>
          <w:sz w:val="28"/>
        </w:rPr>
        <w:t>
      Мощность гумусового горизонта А+В редко превышает 30 см. Переходный горизонт ВС имеет белесовато-бурую окраску, мощность его колеблется в пределах 20-30 см.</w:t>
      </w:r>
    </w:p>
    <w:p>
      <w:pPr>
        <w:spacing w:after="0"/>
        <w:ind w:left="0"/>
        <w:jc w:val="both"/>
      </w:pPr>
      <w:r>
        <w:rPr>
          <w:rFonts w:ascii="Times New Roman"/>
          <w:b w:val="false"/>
          <w:i w:val="false"/>
          <w:color w:val="000000"/>
          <w:sz w:val="28"/>
        </w:rPr>
        <w:t>
      Содержание гумуса колеблется в пределах 1-2 %; в почвах легкого механического состава эта величина может быть еще меньше.</w:t>
      </w:r>
    </w:p>
    <w:p>
      <w:pPr>
        <w:spacing w:after="0"/>
        <w:ind w:left="0"/>
        <w:jc w:val="both"/>
      </w:pPr>
      <w:r>
        <w:rPr>
          <w:rFonts w:ascii="Times New Roman"/>
          <w:b w:val="false"/>
          <w:i w:val="false"/>
          <w:color w:val="000000"/>
          <w:sz w:val="28"/>
        </w:rPr>
        <w:t>
      Вскипание обнаруживается с поверхности (величина углекислоты в верхнем горизонте составляет 3-6 %), а максимум карбонатов наблюдается в карбонатно-иллювиальном горизонте ВС.</w:t>
      </w:r>
    </w:p>
    <w:p>
      <w:pPr>
        <w:spacing w:after="0"/>
        <w:ind w:left="0"/>
        <w:jc w:val="both"/>
      </w:pPr>
      <w:r>
        <w:rPr>
          <w:rFonts w:ascii="Times New Roman"/>
          <w:b w:val="false"/>
          <w:i w:val="false"/>
          <w:color w:val="000000"/>
          <w:sz w:val="28"/>
        </w:rPr>
        <w:t>
      Емкость поглощения почв низкая - до 10-14 мг-экв/100 г почвы. Почвенный поглощающий комплекс насыщен преимущественно кальцием (80-85 %) и магнием (10-15 %); содержание калия находится в пределах 4-5 %, а натрия, как правило, менее 1 %, однако иногда его содержание может достигать 5 % от суммы.</w:t>
      </w:r>
    </w:p>
    <w:p>
      <w:pPr>
        <w:spacing w:after="0"/>
        <w:ind w:left="0"/>
        <w:jc w:val="both"/>
      </w:pPr>
      <w:r>
        <w:rPr>
          <w:rFonts w:ascii="Times New Roman"/>
          <w:b w:val="false"/>
          <w:i w:val="false"/>
          <w:color w:val="000000"/>
          <w:sz w:val="28"/>
        </w:rPr>
        <w:t>
      Описанные почвы используются в качестве пастбищ.</w:t>
      </w:r>
    </w:p>
    <w:p>
      <w:pPr>
        <w:spacing w:after="0"/>
        <w:ind w:left="0"/>
        <w:jc w:val="both"/>
      </w:pPr>
      <w:r>
        <w:rPr>
          <w:rFonts w:ascii="Times New Roman"/>
          <w:b w:val="false"/>
          <w:i w:val="false"/>
          <w:color w:val="000000"/>
          <w:sz w:val="28"/>
        </w:rPr>
        <w:t>
      Бурые солонцеватые имеют широкое распространение на территории Сарыоленского сельского округа.</w:t>
      </w:r>
    </w:p>
    <w:p>
      <w:pPr>
        <w:spacing w:after="0"/>
        <w:ind w:left="0"/>
        <w:jc w:val="both"/>
      </w:pPr>
      <w:r>
        <w:rPr>
          <w:rFonts w:ascii="Times New Roman"/>
          <w:b w:val="false"/>
          <w:i w:val="false"/>
          <w:color w:val="000000"/>
          <w:sz w:val="28"/>
        </w:rPr>
        <w:t>
      Формирование солонцеватых почв связано с засоленными почвообразующими породами, преимущественно тяжелого механического состава.</w:t>
      </w:r>
    </w:p>
    <w:p>
      <w:pPr>
        <w:spacing w:after="0"/>
        <w:ind w:left="0"/>
        <w:jc w:val="both"/>
      </w:pPr>
      <w:r>
        <w:rPr>
          <w:rFonts w:ascii="Times New Roman"/>
          <w:b w:val="false"/>
          <w:i w:val="false"/>
          <w:color w:val="000000"/>
          <w:sz w:val="28"/>
        </w:rPr>
        <w:t>
      Растительный покров представлен типчаково-тырсово-белоземельно-полынными, кустарниково-тырсово-терескеновыми, кустарниково-злаковыми, белоземельно-полынными, белоземельно-полынно-терескеновыми, кокпеково-белоземельно-полынными типами.</w:t>
      </w:r>
    </w:p>
    <w:p>
      <w:pPr>
        <w:spacing w:after="0"/>
        <w:ind w:left="0"/>
        <w:jc w:val="both"/>
      </w:pPr>
      <w:r>
        <w:rPr>
          <w:rFonts w:ascii="Times New Roman"/>
          <w:b w:val="false"/>
          <w:i w:val="false"/>
          <w:color w:val="000000"/>
          <w:sz w:val="28"/>
        </w:rPr>
        <w:t>
      Профиль бурых солонцеватых почв отчетливо дифференцирован на генетические горизонты по солонцовому типу: с поверхности залегает грубая, плотная и трещиноватая корочка, переходящая в слоеватый горизонт А.</w:t>
      </w:r>
    </w:p>
    <w:p>
      <w:pPr>
        <w:spacing w:after="0"/>
        <w:ind w:left="0"/>
        <w:jc w:val="both"/>
      </w:pPr>
      <w:r>
        <w:rPr>
          <w:rFonts w:ascii="Times New Roman"/>
          <w:b w:val="false"/>
          <w:i w:val="false"/>
          <w:color w:val="000000"/>
          <w:sz w:val="28"/>
        </w:rPr>
        <w:t>
      Расположенный под ним иллювиальный горизонт имеет ясно выраженную коричневую (красноватую) окраску, плотное сложение, ореховатую или ореховато-призмовидную структуру с глянцем на гранях структурных отдельностей. По мере нарастания степени солонцеватости возрастает плотность и четче проявляется структура.</w:t>
      </w:r>
    </w:p>
    <w:p>
      <w:pPr>
        <w:spacing w:after="0"/>
        <w:ind w:left="0"/>
        <w:jc w:val="both"/>
      </w:pPr>
      <w:r>
        <w:rPr>
          <w:rFonts w:ascii="Times New Roman"/>
          <w:b w:val="false"/>
          <w:i w:val="false"/>
          <w:color w:val="000000"/>
          <w:sz w:val="28"/>
        </w:rPr>
        <w:t>
      Часто наблюдается увеличение в нем полуторных окислов, выражающееся в приобретении горизонтом красноватого оттенка. Почвы характеризуются также повышенным содержанием обменного натрия в поглощающем комплексе, величина которого колеблется в пределах 5-15 % от суммы, и повышенной щелочностью.</w:t>
      </w:r>
    </w:p>
    <w:p>
      <w:pPr>
        <w:spacing w:after="0"/>
        <w:ind w:left="0"/>
        <w:jc w:val="both"/>
      </w:pPr>
      <w:r>
        <w:rPr>
          <w:rFonts w:ascii="Times New Roman"/>
          <w:b w:val="false"/>
          <w:i w:val="false"/>
          <w:color w:val="000000"/>
          <w:sz w:val="28"/>
        </w:rPr>
        <w:t>
      У почв, развивающихся на породах, богатых магнием, содержание его достигает 25-45 %, при этом проявляется своеобразная "магниевая" солонцеватость, обнаруживаемая по тонкой слоеватости не только подкоркового слоя, но и верхней части горизонта В. У таких почв отмечается небольшое увеличение гумусности и емкости обмена в этом горизонте.</w:t>
      </w:r>
    </w:p>
    <w:p>
      <w:pPr>
        <w:spacing w:after="0"/>
        <w:ind w:left="0"/>
        <w:jc w:val="both"/>
      </w:pPr>
      <w:r>
        <w:rPr>
          <w:rFonts w:ascii="Times New Roman"/>
          <w:b w:val="false"/>
          <w:i w:val="false"/>
          <w:color w:val="000000"/>
          <w:sz w:val="28"/>
        </w:rPr>
        <w:t>
      Почвы вскипают от соляной кислоты, как правило, с поверхности, однако в "легких" солонцеватых почвах линия вскипания может быть опущена глубже.</w:t>
      </w:r>
    </w:p>
    <w:p>
      <w:pPr>
        <w:spacing w:after="0"/>
        <w:ind w:left="0"/>
        <w:jc w:val="both"/>
      </w:pPr>
      <w:r>
        <w:rPr>
          <w:rFonts w:ascii="Times New Roman"/>
          <w:b w:val="false"/>
          <w:i w:val="false"/>
          <w:color w:val="000000"/>
          <w:sz w:val="28"/>
        </w:rPr>
        <w:t>
      Легкорастворимые соли в токсичных концентрациях в пределах слоя 0-80 см отсутствуют.</w:t>
      </w:r>
    </w:p>
    <w:p>
      <w:pPr>
        <w:spacing w:after="0"/>
        <w:ind w:left="0"/>
        <w:jc w:val="both"/>
      </w:pPr>
      <w:r>
        <w:rPr>
          <w:rFonts w:ascii="Times New Roman"/>
          <w:b w:val="false"/>
          <w:i w:val="false"/>
          <w:color w:val="000000"/>
          <w:sz w:val="28"/>
        </w:rPr>
        <w:t>
      Участки с данными почвами используются под пастбищные угодья.</w:t>
      </w:r>
    </w:p>
    <w:p>
      <w:pPr>
        <w:spacing w:after="0"/>
        <w:ind w:left="0"/>
        <w:jc w:val="both"/>
      </w:pPr>
      <w:r>
        <w:rPr>
          <w:rFonts w:ascii="Times New Roman"/>
          <w:b w:val="false"/>
          <w:i w:val="false"/>
          <w:color w:val="000000"/>
          <w:sz w:val="28"/>
        </w:rPr>
        <w:t>
      Лугово-бурые солонцеватые - данные почвы встречаются в южной части сельского округа. От луговых обычных бурых почв они отличаются наличием заметных количеств легкорастворимых солей в слое 30-80 см. Тип и степень засоления различны.</w:t>
      </w:r>
    </w:p>
    <w:p>
      <w:pPr>
        <w:spacing w:after="0"/>
        <w:ind w:left="0"/>
        <w:jc w:val="both"/>
      </w:pPr>
      <w:r>
        <w:rPr>
          <w:rFonts w:ascii="Times New Roman"/>
          <w:b w:val="false"/>
          <w:i w:val="false"/>
          <w:color w:val="000000"/>
          <w:sz w:val="28"/>
        </w:rPr>
        <w:t>
      Естественный растительный покров представлен тростниковыми, злаково-разнотравными, злаково-сорнотравными, чиево-шренковско полынными, чиево-терескеновыми, ажрековыми, селитряно-полынно-ажреково-камфоросмовыми и терескеново-торгайотовыми типами.</w:t>
      </w:r>
    </w:p>
    <w:p>
      <w:pPr>
        <w:spacing w:after="0"/>
        <w:ind w:left="0"/>
        <w:jc w:val="both"/>
      </w:pPr>
      <w:r>
        <w:rPr>
          <w:rFonts w:ascii="Times New Roman"/>
          <w:b w:val="false"/>
          <w:i w:val="false"/>
          <w:color w:val="000000"/>
          <w:sz w:val="28"/>
        </w:rPr>
        <w:t>
      Они, как правило, солонцеватые, однако могут встречаться и безнатриевые варианты. Оглеение наблюдается в нижней части гумусового горизонта, иногда в горизонте А; вскипание от соляной кислоты отмечается с поверхности; засоление в слое 30-80 см - от слабой до сильной степени; солонцеватость проявляется в любой степени.</w:t>
      </w:r>
    </w:p>
    <w:p>
      <w:pPr>
        <w:spacing w:after="0"/>
        <w:ind w:left="0"/>
        <w:jc w:val="both"/>
      </w:pPr>
      <w:r>
        <w:rPr>
          <w:rFonts w:ascii="Times New Roman"/>
          <w:b w:val="false"/>
          <w:i w:val="false"/>
          <w:color w:val="000000"/>
          <w:sz w:val="28"/>
        </w:rPr>
        <w:t>
      Вскипание от соляной кислоты отмечается с поверхности. Максимум карбонатов в горизонте ВС или С составляет 5 %.</w:t>
      </w:r>
    </w:p>
    <w:p>
      <w:pPr>
        <w:spacing w:after="0"/>
        <w:ind w:left="0"/>
        <w:jc w:val="both"/>
      </w:pPr>
      <w:r>
        <w:rPr>
          <w:rFonts w:ascii="Times New Roman"/>
          <w:b w:val="false"/>
          <w:i w:val="false"/>
          <w:color w:val="000000"/>
          <w:sz w:val="28"/>
        </w:rPr>
        <w:t>
      Содержание гумуса в горизонте А незначительное - 0,8-0,9 %. Засоление в профиле и материнской породе отсутствует.</w:t>
      </w:r>
    </w:p>
    <w:p>
      <w:pPr>
        <w:spacing w:after="0"/>
        <w:ind w:left="0"/>
        <w:jc w:val="both"/>
      </w:pPr>
      <w:r>
        <w:rPr>
          <w:rFonts w:ascii="Times New Roman"/>
          <w:b w:val="false"/>
          <w:i w:val="false"/>
          <w:color w:val="000000"/>
          <w:sz w:val="28"/>
        </w:rPr>
        <w:t>
      Рассматриваемые почвы используются в качестве пастбищ и сенокосов.</w:t>
      </w:r>
    </w:p>
    <w:p>
      <w:pPr>
        <w:spacing w:after="0"/>
        <w:ind w:left="0"/>
        <w:jc w:val="both"/>
      </w:pPr>
      <w:r>
        <w:rPr>
          <w:rFonts w:ascii="Times New Roman"/>
          <w:b w:val="false"/>
          <w:i w:val="false"/>
          <w:color w:val="000000"/>
          <w:sz w:val="28"/>
        </w:rPr>
        <w:t>
      Солонцы бурые встречаются в южной и центральной частях территории среди бурых почв по слабым депрессиям рельефа. Отличаются большей мощностью надсолонцового горизонта и более глубоким залеганием солевого горизонта.</w:t>
      </w:r>
    </w:p>
    <w:p>
      <w:pPr>
        <w:spacing w:after="0"/>
        <w:ind w:left="0"/>
        <w:jc w:val="both"/>
      </w:pPr>
      <w:r>
        <w:rPr>
          <w:rFonts w:ascii="Times New Roman"/>
          <w:b w:val="false"/>
          <w:i w:val="false"/>
          <w:color w:val="000000"/>
          <w:sz w:val="28"/>
        </w:rPr>
        <w:t>
       Мощность горизонта А колеблется в пределах 11-18 см. Горизонт В четко выражен, мощность его составляет 11-20 см. В горизонте В2 наблюдаются скопления солей и выделения карбонатов. Вскипание обнаруживается с поверхности и по всему профилю.</w:t>
      </w:r>
    </w:p>
    <w:bookmarkStart w:name="z21" w:id="12"/>
    <w:p>
      <w:pPr>
        <w:spacing w:after="0"/>
        <w:ind w:left="0"/>
        <w:jc w:val="left"/>
      </w:pPr>
      <w:r>
        <w:rPr>
          <w:rFonts w:ascii="Times New Roman"/>
          <w:b/>
          <w:i w:val="false"/>
          <w:color w:val="000000"/>
        </w:rPr>
        <w:t xml:space="preserve"> 4. ОСНОВЫ РАЦИОНАЛЬНОГО ИСПОЛЬЗОВАНИЯ ПАСТБИЩ</w:t>
      </w:r>
    </w:p>
    <w:bookmarkEnd w:id="12"/>
    <w:p>
      <w:pPr>
        <w:spacing w:after="0"/>
        <w:ind w:left="0"/>
        <w:jc w:val="both"/>
      </w:pPr>
      <w:r>
        <w:rPr>
          <w:rFonts w:ascii="Times New Roman"/>
          <w:b w:val="false"/>
          <w:i w:val="false"/>
          <w:color w:val="000000"/>
          <w:sz w:val="28"/>
        </w:rPr>
        <w:t>
      Земли Сарыоленского сельского округа представлены одним основным участком - кадастровые кварталы 05-072-028, 05-072-029, 05-072-030, 05-072-031, 05-072-032. Административный центр Сарыоленского сельского округа - село Сарыолен.</w:t>
      </w:r>
    </w:p>
    <w:p>
      <w:pPr>
        <w:spacing w:after="0"/>
        <w:ind w:left="0"/>
        <w:jc w:val="both"/>
      </w:pPr>
      <w:r>
        <w:rPr>
          <w:rFonts w:ascii="Times New Roman"/>
          <w:b w:val="false"/>
          <w:i w:val="false"/>
          <w:color w:val="000000"/>
          <w:sz w:val="28"/>
        </w:rPr>
        <w:t>
      Земли Сарыоленского сельского округа на севере граничат с землями ГЗЗ, на востоке - с землями Абайского и Калгутинского сельских округов, на юге - с землями Балыкшинского сельского округа, на западе - с землями Курчумского сельского округа и Бухтарминским водохранилищем.</w:t>
      </w:r>
    </w:p>
    <w:p>
      <w:pPr>
        <w:spacing w:after="0"/>
        <w:ind w:left="0"/>
        <w:jc w:val="both"/>
      </w:pPr>
      <w:r>
        <w:rPr>
          <w:rFonts w:ascii="Times New Roman"/>
          <w:b w:val="false"/>
          <w:i w:val="false"/>
          <w:color w:val="000000"/>
          <w:sz w:val="28"/>
        </w:rPr>
        <w:t>
      Общая площадь территории изысканий составила 104449 га, из них сельскохозяйственных угодий - 101337 га, прочих угодий - 3112 га.</w:t>
      </w:r>
    </w:p>
    <w:p>
      <w:pPr>
        <w:spacing w:after="0"/>
        <w:ind w:left="0"/>
        <w:jc w:val="both"/>
      </w:pPr>
      <w:r>
        <w:rPr>
          <w:rFonts w:ascii="Times New Roman"/>
          <w:b w:val="false"/>
          <w:i w:val="false"/>
          <w:color w:val="000000"/>
          <w:sz w:val="28"/>
        </w:rPr>
        <w:t>
      Сельскохозяйственные угодья представлены пастбищами - 90681 га, сенокосами - 2337 га, пашнями - 8319 га. В числе прочих угодий выделены: лиственный лес - 574 га, тростниковые болота - 234 га, выходы коренных пород - 627 га, солончаки соровые - 362 га, такыры - 144 га, водная поверхность - 69 га, населенные пункты - 440 га и хозяйственные постройки - 36 га (приложение 7, форма 15).</w:t>
      </w:r>
    </w:p>
    <w:p>
      <w:pPr>
        <w:spacing w:after="0"/>
        <w:ind w:left="0"/>
        <w:jc w:val="both"/>
      </w:pPr>
      <w:r>
        <w:rPr>
          <w:rFonts w:ascii="Times New Roman"/>
          <w:b w:val="false"/>
          <w:i w:val="false"/>
          <w:color w:val="000000"/>
          <w:sz w:val="28"/>
        </w:rPr>
        <w:t>
      Основная часть округа находится на территории Зайсанской котловины, представляющей собой обширную межгорную равнину со слабым, как бы концентрическим уклоном в сторону озера Зайсан и Бухтарминского водохранилища.</w:t>
      </w:r>
    </w:p>
    <w:p>
      <w:pPr>
        <w:spacing w:after="0"/>
        <w:ind w:left="0"/>
        <w:jc w:val="both"/>
      </w:pPr>
      <w:r>
        <w:rPr>
          <w:rFonts w:ascii="Times New Roman"/>
          <w:b w:val="false"/>
          <w:i w:val="false"/>
          <w:color w:val="000000"/>
          <w:sz w:val="28"/>
        </w:rPr>
        <w:t>
      По рельефу Зайсанская котловина может быть отнесена к слаборасчлененной равнине. К югу от подгорной полосы она имеет очень слабые уклоны и уступами спускается к озеру Зайсан. Уступы зачастую сильно расчленены, местами образуя причудливые формы. Рельеф западной части котловины носит характер увалисто-волнистой или волнистой равнины, также часто изрезанной руслами водотоков, иногда очень сильно врезанными в поверхность.</w:t>
      </w:r>
    </w:p>
    <w:p>
      <w:pPr>
        <w:spacing w:after="0"/>
        <w:ind w:left="0"/>
        <w:jc w:val="both"/>
      </w:pPr>
      <w:r>
        <w:rPr>
          <w:rFonts w:ascii="Times New Roman"/>
          <w:b w:val="false"/>
          <w:i w:val="false"/>
          <w:color w:val="000000"/>
          <w:sz w:val="28"/>
        </w:rPr>
        <w:t>
      Территория Сарыоленского сельского округа слабо обеспечена водой. Здесь мало родников и ручьев. Грунтовые воды на предгорной равнине залегают на глубине от 2 до 50 м. По территории округа протекает река Курчум, имеются колодцы и несколько мелких озер. Равнинная часть территории округа характеризуется грунтовыми водами, залегающими в основном на небольшой глубине и обладающими пестрой минерализацией с преобладанием пресных вод.</w:t>
      </w:r>
    </w:p>
    <w:p>
      <w:pPr>
        <w:spacing w:after="0"/>
        <w:ind w:left="0"/>
        <w:jc w:val="both"/>
      </w:pPr>
      <w:r>
        <w:rPr>
          <w:rFonts w:ascii="Times New Roman"/>
          <w:b w:val="false"/>
          <w:i w:val="false"/>
          <w:color w:val="000000"/>
          <w:sz w:val="28"/>
        </w:rPr>
        <w:t>
      Наиболее крупной водной артерией округа является река Курчум. Река Курчум, протекающая по территории округа, берет начало на высоких хребтах Алтая и характеризуется смешанным типом питания (дождевым, снеговым и грунтовым). Река Курчум обладает постоянным течением и хорошим качеством воды, пригодной для обводнения пастбищ и сельскохозяйственного водоснабжения.</w:t>
      </w:r>
    </w:p>
    <w:p>
      <w:pPr>
        <w:spacing w:after="0"/>
        <w:ind w:left="0"/>
        <w:jc w:val="both"/>
      </w:pPr>
      <w:r>
        <w:rPr>
          <w:rFonts w:ascii="Times New Roman"/>
          <w:b w:val="false"/>
          <w:i w:val="false"/>
          <w:color w:val="000000"/>
          <w:sz w:val="28"/>
        </w:rPr>
        <w:t>
      В целом пастбища в горной части территории округа обводнены хорошо, а в равнинной части - слабо. Колодцев мало.</w:t>
      </w:r>
    </w:p>
    <w:p>
      <w:pPr>
        <w:spacing w:after="0"/>
        <w:ind w:left="0"/>
        <w:jc w:val="both"/>
      </w:pPr>
      <w:r>
        <w:rPr>
          <w:rFonts w:ascii="Times New Roman"/>
          <w:b w:val="false"/>
          <w:i w:val="false"/>
          <w:color w:val="000000"/>
          <w:sz w:val="28"/>
        </w:rPr>
        <w:t>
      Растительный покров соответствует рельефу, эдафическим и климатическим условиям местности. Флористический список по материалам полевого обследования составляет 124 вида, относящихся к 96 родам и 27 семействам.</w:t>
      </w:r>
    </w:p>
    <w:p>
      <w:pPr>
        <w:spacing w:after="0"/>
        <w:ind w:left="0"/>
        <w:jc w:val="both"/>
      </w:pPr>
      <w:r>
        <w:rPr>
          <w:rFonts w:ascii="Times New Roman"/>
          <w:b w:val="false"/>
          <w:i w:val="false"/>
          <w:color w:val="000000"/>
          <w:sz w:val="28"/>
        </w:rPr>
        <w:t>
      По количеству видов в семействах преобладают: Сложноцветные и Злаковые - по 21 виду, Маревые - 19 видов, Бобовые - 10 видов, Зонтичные - 6 видов, Лилейные, Розоцветные и Губоцветные - по 5 видов, Гречишные и Гвоздичные - по 4 вида, Осоковые - 3 вида, Ивовые, Крестоцветные, Свинчатковые, Норичниковые и Подорожниковые - по 2 вида; остальные семейства содержат по 1 виду.</w:t>
      </w:r>
    </w:p>
    <w:p>
      <w:pPr>
        <w:spacing w:after="0"/>
        <w:ind w:left="0"/>
        <w:jc w:val="both"/>
      </w:pPr>
      <w:r>
        <w:rPr>
          <w:rFonts w:ascii="Times New Roman"/>
          <w:b w:val="false"/>
          <w:i w:val="false"/>
          <w:color w:val="000000"/>
          <w:sz w:val="28"/>
        </w:rPr>
        <w:t>
       Доминантами в растительном покрове являются 20 видов.</w:t>
      </w:r>
    </w:p>
    <w:p>
      <w:pPr>
        <w:spacing w:after="0"/>
        <w:ind w:left="0"/>
        <w:jc w:val="both"/>
      </w:pPr>
      <w:r>
        <w:rPr>
          <w:rFonts w:ascii="Times New Roman"/>
          <w:b w:val="false"/>
          <w:i w:val="false"/>
          <w:color w:val="000000"/>
          <w:sz w:val="28"/>
        </w:rPr>
        <w:t>
      Подавляющее количество видов (114 видов, или 91,9 %) поедается скотом; непоедаемых - 3 вида, ядовитых - 7 видов, лекарственных - 16 видов.</w:t>
      </w:r>
    </w:p>
    <w:p>
      <w:pPr>
        <w:spacing w:after="0"/>
        <w:ind w:left="0"/>
        <w:jc w:val="both"/>
      </w:pPr>
      <w:r>
        <w:rPr>
          <w:rFonts w:ascii="Times New Roman"/>
          <w:b w:val="false"/>
          <w:i w:val="false"/>
          <w:color w:val="000000"/>
          <w:sz w:val="28"/>
        </w:rPr>
        <w:t>
      Экологический анализ флоры района изысканий показывает широкое распространение ксерофитов на равнинах.</w:t>
      </w:r>
    </w:p>
    <w:p>
      <w:pPr>
        <w:spacing w:after="0"/>
        <w:ind w:left="0"/>
        <w:jc w:val="both"/>
      </w:pPr>
      <w:r>
        <w:rPr>
          <w:rFonts w:ascii="Times New Roman"/>
          <w:b w:val="false"/>
          <w:i w:val="false"/>
          <w:color w:val="000000"/>
          <w:sz w:val="28"/>
        </w:rPr>
        <w:t>
       Важную роль в распределении растительного покрова играют элементы рельефа. В результате обследования, в зависимости от условий обитания и состава растительности, природные кормовые угодья систематизированы в пределах основных форм рельефа: низкогорья, понижения низкогорий, волнистая, волнисто-холмистая, слабоволнистая равнина, понижения равнины.</w:t>
      </w:r>
    </w:p>
    <w:p>
      <w:pPr>
        <w:spacing w:after="0"/>
        <w:ind w:left="0"/>
        <w:jc w:val="both"/>
      </w:pPr>
      <w:r>
        <w:rPr>
          <w:rFonts w:ascii="Times New Roman"/>
          <w:b w:val="false"/>
          <w:i w:val="false"/>
          <w:color w:val="000000"/>
          <w:sz w:val="28"/>
        </w:rPr>
        <w:t>
       Все вышеописанные сообщества на территории землепользования в настоящее время используются под выпас частного скота.</w:t>
      </w:r>
    </w:p>
    <w:p>
      <w:pPr>
        <w:spacing w:after="0"/>
        <w:ind w:left="0"/>
        <w:jc w:val="both"/>
      </w:pPr>
      <w:r>
        <w:rPr>
          <w:rFonts w:ascii="Times New Roman"/>
          <w:b w:val="false"/>
          <w:i w:val="false"/>
          <w:color w:val="000000"/>
          <w:sz w:val="28"/>
        </w:rPr>
        <w:t>
       Среди пастбищ по сезонности использования доминируют весенне-летне-осенние - 65110 га (71,8 %). Кормозапас весенне-летне-осенних пастбищ составляет 257095 ц сухой массы, или 139882 ц кормовых единиц (приложение 2, форма 9).</w:t>
      </w:r>
    </w:p>
    <w:p>
      <w:pPr>
        <w:spacing w:after="0"/>
        <w:ind w:left="0"/>
        <w:jc w:val="both"/>
      </w:pPr>
      <w:r>
        <w:rPr>
          <w:rFonts w:ascii="Times New Roman"/>
          <w:b w:val="false"/>
          <w:i w:val="false"/>
          <w:color w:val="000000"/>
          <w:sz w:val="28"/>
        </w:rPr>
        <w:t>
       Весенне-раннелетне-осенние пастбища занимают 14463 га (16,0 %). Кормозапас весенне-раннелетне-осенних пастбищ составляет 67447 ц сухой массы, или 39767 ц кормовых единиц.</w:t>
      </w:r>
    </w:p>
    <w:p>
      <w:pPr>
        <w:spacing w:after="0"/>
        <w:ind w:left="0"/>
        <w:jc w:val="both"/>
      </w:pPr>
      <w:r>
        <w:rPr>
          <w:rFonts w:ascii="Times New Roman"/>
          <w:b w:val="false"/>
          <w:i w:val="false"/>
          <w:color w:val="000000"/>
          <w:sz w:val="28"/>
        </w:rPr>
        <w:t>
       На долю осенних пастбищ приходится 11108 га (12,2 %). Кормозапас осенних пастбищ составляет 25979 ц сухой массы, или 11097 ц кормовых единиц.</w:t>
      </w:r>
    </w:p>
    <w:p>
      <w:pPr>
        <w:spacing w:after="0"/>
        <w:ind w:left="0"/>
        <w:jc w:val="both"/>
      </w:pPr>
      <w:r>
        <w:rPr>
          <w:rFonts w:ascii="Times New Roman"/>
          <w:b w:val="false"/>
          <w:i w:val="false"/>
          <w:color w:val="000000"/>
          <w:sz w:val="28"/>
        </w:rPr>
        <w:t>
       Общий кормозапас пастбищ обследованной территории составляет 350521 ц сухой массы, или 190746 ц кормовых единиц.</w:t>
      </w:r>
    </w:p>
    <w:p>
      <w:pPr>
        <w:spacing w:after="0"/>
        <w:ind w:left="0"/>
        <w:jc w:val="both"/>
      </w:pPr>
      <w:r>
        <w:rPr>
          <w:rFonts w:ascii="Times New Roman"/>
          <w:b w:val="false"/>
          <w:i w:val="false"/>
          <w:color w:val="000000"/>
          <w:sz w:val="28"/>
        </w:rPr>
        <w:t>
       Кормозапас сенокосов, площадь которых составляет 2337 га, равен 18573 ц сухой массы, или 9096 ц кормовых единиц.</w:t>
      </w:r>
    </w:p>
    <w:p>
      <w:pPr>
        <w:spacing w:after="0"/>
        <w:ind w:left="0"/>
        <w:jc w:val="both"/>
      </w:pPr>
      <w:r>
        <w:rPr>
          <w:rFonts w:ascii="Times New Roman"/>
          <w:b w:val="false"/>
          <w:i w:val="false"/>
          <w:color w:val="000000"/>
          <w:sz w:val="28"/>
        </w:rPr>
        <w:t>
       В Сарыоленском сельском округе на 01.07.2022 года, по данным социально-экономического паспорта, числится 9629 голов овец и коз, 5300 голов крупного рогатого скота, 2176 лошадей, или 49185 условных овцеголов, при общем кормозапасе 369094 ц сухой массы.</w:t>
      </w:r>
    </w:p>
    <w:p>
      <w:pPr>
        <w:spacing w:after="0"/>
        <w:ind w:left="0"/>
        <w:jc w:val="both"/>
      </w:pPr>
      <w:r>
        <w:rPr>
          <w:rFonts w:ascii="Times New Roman"/>
          <w:b w:val="false"/>
          <w:i w:val="false"/>
          <w:color w:val="000000"/>
          <w:sz w:val="28"/>
        </w:rPr>
        <w:t>
      На территории округа в пастбищный период продолжительностью 170 дней можно содержать 86845 овцеголов.</w:t>
      </w:r>
    </w:p>
    <w:p>
      <w:pPr>
        <w:spacing w:after="0"/>
        <w:ind w:left="0"/>
        <w:jc w:val="both"/>
      </w:pPr>
      <w:r>
        <w:rPr>
          <w:rFonts w:ascii="Times New Roman"/>
          <w:b w:val="false"/>
          <w:i w:val="false"/>
          <w:color w:val="000000"/>
          <w:sz w:val="28"/>
        </w:rPr>
        <w:t>
      Культуротехническое состояние пастбищ приводится в приложении 4, форма 11. Из общей площади пастбищ 90681 га на чистые приходится 50122 га (55,3 %), закустаренные - 10038 га (11,0 %), затырсованные - 21176 га (23,4 %), сбитые - 9345 га (10,3 %).</w:t>
      </w:r>
    </w:p>
    <w:p>
      <w:pPr>
        <w:spacing w:after="0"/>
        <w:ind w:left="0"/>
        <w:jc w:val="both"/>
      </w:pPr>
      <w:r>
        <w:rPr>
          <w:rFonts w:ascii="Times New Roman"/>
          <w:b w:val="false"/>
          <w:i w:val="false"/>
          <w:color w:val="000000"/>
          <w:sz w:val="28"/>
        </w:rPr>
        <w:t>
      К сбитым пастбищам отнесены: 2240 га (2,5 % от площади сбитых пастбищ), заросшие однолетне-солянковой растительностью; 792 га (0,9 %) - засоренные плохо поедаемыми растениями; 6313 га (6,9 %) - засоренные ядовитыми растениями.</w:t>
      </w:r>
    </w:p>
    <w:p>
      <w:pPr>
        <w:spacing w:after="0"/>
        <w:ind w:left="0"/>
        <w:jc w:val="both"/>
      </w:pPr>
      <w:r>
        <w:rPr>
          <w:rFonts w:ascii="Times New Roman"/>
          <w:b w:val="false"/>
          <w:i w:val="false"/>
          <w:color w:val="000000"/>
          <w:sz w:val="28"/>
        </w:rPr>
        <w:t>
      Из общей площади сенокосов 2337 га на чистые приходится 993 га (42,5 %), засоренные ядовитыми растениями - 1344 га (57,5 %). На территории округа рекомендуется сократить пастбищную нагрузку и упорядочить выпас скота на площади 15077 га. Борьба с сорной растительностью рекомендована на площади 3304 га.</w:t>
      </w:r>
    </w:p>
    <w:bookmarkStart w:name="z22" w:id="13"/>
    <w:p>
      <w:pPr>
        <w:spacing w:after="0"/>
        <w:ind w:left="0"/>
        <w:jc w:val="left"/>
      </w:pPr>
      <w:r>
        <w:rPr>
          <w:rFonts w:ascii="Times New Roman"/>
          <w:b/>
          <w:i w:val="false"/>
          <w:color w:val="000000"/>
        </w:rPr>
        <w:t xml:space="preserve"> 4.1. Рациональное использование пастбищ</w:t>
      </w:r>
    </w:p>
    <w:bookmarkEnd w:id="13"/>
    <w:p>
      <w:pPr>
        <w:spacing w:after="0"/>
        <w:ind w:left="0"/>
        <w:jc w:val="both"/>
      </w:pPr>
      <w:r>
        <w:rPr>
          <w:rFonts w:ascii="Times New Roman"/>
          <w:b w:val="false"/>
          <w:i w:val="false"/>
          <w:color w:val="000000"/>
          <w:sz w:val="28"/>
        </w:rPr>
        <w:t>
       Значение пастбищ и пастбищного корма для животных. Зеленая трава является высокопитательным кормовым средством. Трава наилучших пастбищ, особенно злаково-бобовых травосмесей, содержит в 100 кг свыше 10 кг перевариваемого белка и до 100 кормовых единиц. Кроме того, переваримость сена значительно ниже, чем зеленой травы (на 15-20 %).</w:t>
      </w:r>
    </w:p>
    <w:p>
      <w:pPr>
        <w:spacing w:after="0"/>
        <w:ind w:left="0"/>
        <w:jc w:val="both"/>
      </w:pPr>
      <w:r>
        <w:rPr>
          <w:rFonts w:ascii="Times New Roman"/>
          <w:b w:val="false"/>
          <w:i w:val="false"/>
          <w:color w:val="000000"/>
          <w:sz w:val="28"/>
        </w:rPr>
        <w:t>
      В пастбищной зеленой траве содержится, например, витамина А приблизительно в 10 раз больше, чем в сене. Минеральные вещества (главным образом соли кальция и фосфора), при недостатке которых невозможны правильный рост и развитие животных, имеются в необходимом количестве в зеленой траве, что способствует предупреждению различных заболеваний.</w:t>
      </w:r>
    </w:p>
    <w:bookmarkStart w:name="z23" w:id="14"/>
    <w:p>
      <w:pPr>
        <w:spacing w:after="0"/>
        <w:ind w:left="0"/>
        <w:jc w:val="left"/>
      </w:pPr>
      <w:r>
        <w:rPr>
          <w:rFonts w:ascii="Times New Roman"/>
          <w:b/>
          <w:i w:val="false"/>
          <w:color w:val="000000"/>
        </w:rPr>
        <w:t xml:space="preserve"> 4.2. Влияние выпаса на травостой</w:t>
      </w:r>
    </w:p>
    <w:bookmarkEnd w:id="14"/>
    <w:p>
      <w:pPr>
        <w:spacing w:after="0"/>
        <w:ind w:left="0"/>
        <w:jc w:val="both"/>
      </w:pPr>
      <w:r>
        <w:rPr>
          <w:rFonts w:ascii="Times New Roman"/>
          <w:b w:val="false"/>
          <w:i w:val="false"/>
          <w:color w:val="000000"/>
          <w:sz w:val="28"/>
        </w:rPr>
        <w:t>
       Выпас скота оказывает большое воздействие на растения. Скусывание, повреждение, выбивание, притаптывание травостоя к земле в значительной мере отражаются на его состоянии. Кроме того, выпас влияет на почву луговых угодий, уплотняя ее, изменяя физические свойства почвы, водно-воздушный и пищевой режим.</w:t>
      </w:r>
    </w:p>
    <w:p>
      <w:pPr>
        <w:spacing w:after="0"/>
        <w:ind w:left="0"/>
        <w:jc w:val="both"/>
      </w:pPr>
      <w:r>
        <w:rPr>
          <w:rFonts w:ascii="Times New Roman"/>
          <w:b w:val="false"/>
          <w:i w:val="false"/>
          <w:color w:val="000000"/>
          <w:sz w:val="28"/>
        </w:rPr>
        <w:t>
       В результате выпаса изменяется растительный покров: число видов растений в травостое уменьшается, сохраняются главным образом так называемые пастбищевыносливые виды растений.</w:t>
      </w:r>
    </w:p>
    <w:p>
      <w:pPr>
        <w:spacing w:after="0"/>
        <w:ind w:left="0"/>
        <w:jc w:val="both"/>
      </w:pPr>
      <w:r>
        <w:rPr>
          <w:rFonts w:ascii="Times New Roman"/>
          <w:b w:val="false"/>
          <w:i w:val="false"/>
          <w:color w:val="000000"/>
          <w:sz w:val="28"/>
        </w:rPr>
        <w:t>
       При неправильном использовании пастбищ часто появляются в большом количестве малоценные травы, грубостебельное разнотравье, качество травостоя ухудшается, снижается урожай трав.</w:t>
      </w:r>
    </w:p>
    <w:p>
      <w:pPr>
        <w:spacing w:after="0"/>
        <w:ind w:left="0"/>
        <w:jc w:val="both"/>
      </w:pPr>
      <w:r>
        <w:rPr>
          <w:rFonts w:ascii="Times New Roman"/>
          <w:b w:val="false"/>
          <w:i w:val="false"/>
          <w:color w:val="000000"/>
          <w:sz w:val="28"/>
        </w:rPr>
        <w:t>
       Продуктивность пастбища поддерживается только наличием в травостое таких луговых трав, которые способны быстро отрастать после стравливания и давать устойчивый выход зеленой массы в течение всего пастбищного периода. Эта способность в наибольшей степени свойственна низовым злакам, обычно составляющим основу травостоя на пастбищах.</w:t>
      </w:r>
    </w:p>
    <w:p>
      <w:pPr>
        <w:spacing w:after="0"/>
        <w:ind w:left="0"/>
        <w:jc w:val="both"/>
      </w:pPr>
      <w:r>
        <w:rPr>
          <w:rFonts w:ascii="Times New Roman"/>
          <w:b w:val="false"/>
          <w:i w:val="false"/>
          <w:color w:val="000000"/>
          <w:sz w:val="28"/>
        </w:rPr>
        <w:t>
       Основные требования при рациональном использовании пастбищ сводятся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 кормом наибольшее количество животных и получить высокий выход животноводческой продукции.</w:t>
      </w:r>
    </w:p>
    <w:p>
      <w:pPr>
        <w:spacing w:after="0"/>
        <w:ind w:left="0"/>
        <w:jc w:val="both"/>
      </w:pPr>
      <w:r>
        <w:rPr>
          <w:rFonts w:ascii="Times New Roman"/>
          <w:b w:val="false"/>
          <w:i w:val="false"/>
          <w:color w:val="000000"/>
          <w:sz w:val="28"/>
        </w:rPr>
        <w:t>
       Огромное значение в этом отношении имеют накопление и расходование запасных питательных веществ при пастбищном использовании травостоя, биология роста и развития трав, сезонные колебания в отрастании травы, периоды "отдыха" пастбищ. При использовании пастбищ большое значение имеют прежде всего сроки, высота и количество стравливаний, а также нормальная нагрузка на пастбища.</w:t>
      </w:r>
    </w:p>
    <w:p>
      <w:pPr>
        <w:spacing w:after="0"/>
        <w:ind w:left="0"/>
        <w:jc w:val="both"/>
      </w:pPr>
      <w:r>
        <w:rPr>
          <w:rFonts w:ascii="Times New Roman"/>
          <w:b w:val="false"/>
          <w:i w:val="false"/>
          <w:color w:val="000000"/>
          <w:sz w:val="28"/>
        </w:rPr>
        <w:t>
       Мероприятия, поддерживающие и повышающие продуктивность пастбищ. На пастбищах сохранить урожай и хороший кормовой состав на высоком уровне в течение всего периода использования можно только при сочетании рациональных приемов эксплуатации. При достаточной интенсивности использования трав существует ряд мероприятий, позволяющих поддерживать урожайность на высоком уровне: применение мер ухода за пастбищем (внесение удобрений, подсев трав, подкашивание нестравленных остатков и другие), периодическое предоставление отдыха, использование травостоя после созревания семян, чередование пастбищного использования с сенокосным, введение загонно-участковой системы выпаса.</w:t>
      </w:r>
    </w:p>
    <w:p>
      <w:pPr>
        <w:spacing w:after="0"/>
        <w:ind w:left="0"/>
        <w:jc w:val="both"/>
      </w:pPr>
      <w:r>
        <w:rPr>
          <w:rFonts w:ascii="Times New Roman"/>
          <w:b w:val="false"/>
          <w:i w:val="false"/>
          <w:color w:val="000000"/>
          <w:sz w:val="28"/>
        </w:rPr>
        <w:t>
       Все эти мероприятия должны применяться не разрозненно, а в определенной системе - путем введения на пастбищах длительного пользования пастбищеоборотов.</w:t>
      </w:r>
    </w:p>
    <w:p>
      <w:pPr>
        <w:spacing w:after="0"/>
        <w:ind w:left="0"/>
        <w:jc w:val="both"/>
      </w:pPr>
      <w:r>
        <w:rPr>
          <w:rFonts w:ascii="Times New Roman"/>
          <w:b w:val="false"/>
          <w:i w:val="false"/>
          <w:color w:val="000000"/>
          <w:sz w:val="28"/>
        </w:rPr>
        <w:t>
       К мерам ухода и одновременно улучшения травостоя пастбищ, а также повышения их урожайности относятся мероприятия по улучшению и регулированию водного режима, удалению кочек и кустарников, борьбе с сорняками и другие.</w:t>
      </w:r>
    </w:p>
    <w:bookmarkStart w:name="z24" w:id="15"/>
    <w:p>
      <w:pPr>
        <w:spacing w:after="0"/>
        <w:ind w:left="0"/>
        <w:jc w:val="left"/>
      </w:pPr>
      <w:r>
        <w:rPr>
          <w:rFonts w:ascii="Times New Roman"/>
          <w:b/>
          <w:i w:val="false"/>
          <w:color w:val="000000"/>
        </w:rPr>
        <w:t xml:space="preserve"> 5. ОРГАНИЗАЦИЯ ТЕРРИТОРИИ ПАСТБИЩ</w:t>
      </w:r>
    </w:p>
    <w:bookmarkEnd w:id="15"/>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предотвращении процессов деградации пастбищ важную роль играет правильное использование пастбищ, которые являются одним из основных источников дешевых и питательных кормов.</w:t>
      </w:r>
    </w:p>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Это система, в которой отдельные приемы использования и ухода чередуются, повторяясь по годам в определенной последовательности.</w:t>
      </w:r>
    </w:p>
    <w:p>
      <w:pPr>
        <w:spacing w:after="0"/>
        <w:ind w:left="0"/>
        <w:jc w:val="both"/>
      </w:pPr>
      <w:r>
        <w:rPr>
          <w:rFonts w:ascii="Times New Roman"/>
          <w:b w:val="false"/>
          <w:i w:val="false"/>
          <w:color w:val="000000"/>
          <w:sz w:val="28"/>
        </w:rPr>
        <w:t>
      Своевременное стравливание травостоя на определенных типах пастбищ с учетом особенностей вегетации растительности, минимизация затрат на организацию пастбищного хозяйства, правильное размещение пастбищных участков и водоисточников, а также сведение к минимуму холостых передвижений животных обеспечивают соблюдение необходимых ветеринарно-профилактических требований.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Сарыолен - 1 село Барак Батыр - 1 село Бирлик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водопой - реки, ручьи и родники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владельца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(козы)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(овцы)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Абдреимова Гульназ Дамировна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701020402318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Абдылдабек Онер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700410302884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Абылкамит Амина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415650379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Абылкаирова Кульмайра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530123402001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Адыкенов Ерлан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680901303568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Ажикенов Серик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691031301428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Талгат Айдарбекулы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830616300814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Динара Ержановна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890622401565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Айтан Бейсен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870723351540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Айтқазы Жұмағазы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760105350778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Акжаркын Адал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720310350775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Акимгожина Кулия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420820400755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 Ербол кудайбергенович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750330300238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Данияр Ержанұлы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950213350329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Сауле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960125000565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Аққоян Мимінхан Аққоян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730701499088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Ақметбай Боранбек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760424399071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Ақсартова Гүлбарам Амангелдіқызы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641021400938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Алдербаев Елтай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560711301029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Алиаскан Мурал Алиасканович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701010399161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Алиасқан Бақыт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640707399065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Альдеков Калибек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470212301502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Нурсабет Акзамбекович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660201303053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Амыр Орлеубек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740905399072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Анекей Улабек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790615399065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Аншек Нурбек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701006350622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Арыкша Ануарбек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500307399032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Еркын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Асылхан Нәзигүл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841001000192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Ахмадиев Мадияр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390101319564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Ахмадиев Манап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440206300546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Ахмеджанова Айтжамал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620515402507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Ахметкали Баян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841128302822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Ахметкали Таскын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700927302835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Баах Николай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631016302027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Бажан Жұмабек Жұмабекұлы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851116302998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Базаров Тлеукан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621014301561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Байтуманов Куандық Аукенович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540419301662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Байтуманов Нурбек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680202303499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800403399057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 Мұрат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920809351004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Минәуәр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900210451675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Бәйжік Мұрат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850802399104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Бидаш Бұлбұлқан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860510451408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Билимхан Солтан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530610000126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Білімхан Жануалхан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840714499051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Бокешев Сейсенбы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511002300208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Боленхан Шаттықгүл Боленханұлы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770215403534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Ботабаев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641221301997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Букетов Данияр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811118302446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Бухарбаев Ермат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650202302069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Бұдырхан Толеш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761109499098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Газизов Мейрамбек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920501351248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Даутова Кульбану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500806401843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Добыш Токан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710603399134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Донаш Риза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860618499053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Дубай Болыс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760801399123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Дуйсенбаева Казине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480515401343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Дуйсенгазин Амангельды Советбекович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650714301381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Дуйсенгазин Турсынкан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620514302179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Ералимов Болат Мамбетұлы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610812302375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Ергалиева Галия Советкановна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660103402237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Есымханов Серык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540305301414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Әбілқат Айқын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750105000334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Әбілқат Жұмабек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841202399054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нұрлыбек әділхан 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890330399097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Әзімхан Бекболат Қымбатбекұлы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941001350852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Әкеш серік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680401000368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Әнуәрбек Болат Әнуәрбек ұлыБолат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720918399149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Жабер Баелхан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751008350721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 гымын жакияулы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660804350569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Роза Кавкановна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470922401013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Жақсыбаев Қуандық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560403301282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 Талгат Батырханович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641122301344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кульпаш камзановна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541012401996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Жанаев Актангелды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580215302976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Турарбек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900309399106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Жанузаков Женыскан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580509302141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541116301122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Сакен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481224300841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Журтбаев Мамырбек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580507301846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Жүнісбек Тәлімбек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650319399038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Зейнелғап Жеңісхан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730810000373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Зияш Гулина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760609499063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Ибак Кабылбай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860113303275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Ибак Калыйя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810320403070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Ибақ Мұрат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800617303343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Кульсин Кабыкеновна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621203402286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Даурен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820215302978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Игисинов Жомарт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560724301119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Игисинов Мурат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540812301410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Идагам Сауырбек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630210399110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Изамаденов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631227300711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Изамадинов Ерден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680426302191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Изамеденов Бакытбек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660324301125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Имошкен Талапкан Имошкен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870601399026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Исаканов Кадырхан Данканович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650801302878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Кабанбаева Асель Асылбековна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870213401499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Кабдешов Нұрлан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671126301212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Кабдолда Уларбек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760305399044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Кабдуллин Аргынбек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 Ербол Рахимович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740103300251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Кабыкенова Кабыкул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490725401046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Кабылтаева Кульбаран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540204400858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Кайрат Жаныбекович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660323300092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Кайлюбаев Болаткан Аканович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591209301682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Калажанов болат 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560825302047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 Сетерхан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741211399052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Калидолдин Байжан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600101305947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Серык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800813301481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Анар Курметкызы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840322401248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Сауле Турсуновна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731109400023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Каменов Сериккали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600211302049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Камза Нуреден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500801303172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Камзанова Убан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410915402210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 Нурлан Кибатолдинович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Капасов Сайфулла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Капаш Тлеубек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761126302913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Капталов Сержан Масалимович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610114301312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Капталов Сержан Масалимович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610114301312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Карыбаев Алманбек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640613301013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Карыпов Серик Сериккалиевич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810110302201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Карянова Людмила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600605401396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Каспаков Бакытжан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650412300699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Касымбеков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690424302474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Касымханова Жанар Жылхайдаровна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701012401306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Кеңесбеков Ерлан Санатұлы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940119351374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Керуенов Максат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660112300035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Кешубаев Аханбек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510101307588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 Жанар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730405350892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Килымхан Бекзатхан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870209351615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Кожебаев Т 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390216301110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Кожебаев Тлеукан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640203300185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Кожебай Нургул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720529450673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Кожиков Асет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891229300547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Кожиков Серик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610214301792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Кожиракаев Серикбек Самарханұлы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601030302345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Сеиткан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570327300401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Койлыбаев Мураткан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630116300606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Кокебаев Муратай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720211302472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Коленкинов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650817301331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Крамбаев Абдразак Асылканович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521125301603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Крамбаев Нуржан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670824301680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Крамбаев Рустам Нуржанович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920804350594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Крамбаев Табарак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520628301427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Кулікай Адал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700905399124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Кумаргалиев Бауыржан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641126300152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Кумархан Алтынгул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860226499042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Кунапин Ерлан Айткешевич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660102301633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Куркутов Батырбек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650119302018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Куркутов Берик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860930300788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Курманбаев Адылбек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500501300107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Курняев Нуржан Каиргумарұлы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930414350942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Курняев Сагымбек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670524302519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Алтынхан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680113300986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Кусайнова Кульсағат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470316401039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Кусман Муралбек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750115350760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Қабылқақ Сайрангүл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740107499080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Қадылбек Гүлназхан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810101452245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Қажақыман Ақиқат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730301000871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Ермек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900317000349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Қалиасқар Манеатбек Қалиасқарұлы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851206351310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 Жақан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761110350699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Қапар Құмархан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861103351649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Құанған 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819650602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Құдыс Нұргүл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700908450636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Бодалқан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740501399096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Құсман Тұрсынхан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640626350687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Мағұлым Сәулегүл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700806450467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Маденов Базархан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591115302769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Маденов Бақытқан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620105303619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Сұнғат Базарханович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850805300429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Сымбат Базарханович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870805301321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Мадинов Ергалий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600107302093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Маекбаев Солтан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560502301815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Маженов Есен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640229300276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Мазенов Рашид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800219301442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Мазенов Сайранқан Аубакирович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580117300431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Макажанов Сабиталы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500127301965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 Аян Бакытулы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841219301303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Мамырбаев Баглан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810926303018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мамырбаева Марьям Токтаркановна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680301404104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Марчук Светлана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770614401507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Маукен Манат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820122399132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Маукен Мәсілихат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941010351661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Маулытай Кулзада Маулытайқызы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630222402982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Мауытхан Толымхан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840228351613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Меллат Жемісгүл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821105499109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Мешел Адилбек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690923302899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Мәуітхан Сержан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810309350927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Мәутай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820306351386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Мүсілім Бабаш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640806350605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Мукашев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680418302366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Муралкасымова Сания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570323402323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Мусагалиева Айнур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811207400410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Мустафинов Болаткан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590223302575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Мути Токен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770622399086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Мухаметалимов Ерлан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Мухаметалимов Ертай Муталяпович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611022300387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Мухаметалимова Куляж Кабдыловна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500516400185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Мухаметкалиев Ерболат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650401303059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Мухитов Елтай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680912301511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Мухтарканов Нурлан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750629301826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Мұқият Ерсінбек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920310000424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Мұралбек Қуаныш Мұралбек 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950724351642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Махат Мұратұлы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910210351591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Отанбек Мұратұлы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41031550632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Мырзабек Адак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700123303179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Наби Шанжын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711221350475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Назырхан Нұрбақыт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780514000333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Нәсімхан Нұрлан Нәсімханұлы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740915000554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Ниязбек Қалымбек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850813351635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Ногаева Гульбаршин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650609400874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Нугербек Абек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580627301958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Нукай Мукай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610106399151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Нурахметов Бертыкан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700404301873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Алма нурахметовна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540709400042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Нургаламбаев Тлеубек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590126301857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Нургаланбаев Айткалий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680104302428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Нургаланбаев Ерболат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630715301879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 Ербол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700413302157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Нурлан Газизович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770305302221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 Ержан акебаевич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630903301880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Нуркасимова Галия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630103400394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Нуркманов Нурбек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491103401621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Нуркола Айгуль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750906000263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Нуря Нурдан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761215302848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 Берікбол Ерболұлы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10605550466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Нұриев Қайрат Ақатайұлы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621203302221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Нұркасымов Нұрболат Жолбосынұлы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920322350396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Нұрлан Шалғын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861102303199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Оқас Мұрат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700314399042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Оразбек Оңал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840102399068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Откульбаев Ринат Еркынович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920927350375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Петрашова Елена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480314400319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Кали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541030301214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Рахметоллаев Жандос Даулетович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960412350441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Адылгазы Сайпулгазинович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601130301856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Рысбек Уалибек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770410303270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Сабиолдинова Назерке Жамбулатовна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910417451711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Сағатбек Нәдира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860404499060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Сагындыкова Кульжазира Аукеновна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700603400157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 Куаныш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681127301557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Жанат Рамашевна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680108400093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Сайыпқызы Минар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800221403377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Сакалбаев Манарбек Шапипканович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660101317565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Сакалбаев Дәулет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731205303172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Сакалбаев Маратбек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680527301648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Сакалбаева Кульмира Советхановна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630715401220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 Бекжан Мергенгалиевич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911028350765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 Ерлан Сагижанович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691004300323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Сакпанов Мергенгали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620306301813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Салимова Гульзада Сабеткановна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621111402018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Самолдыров Алтай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830607300697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Самолтыров Амантай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610705402588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740330302301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Сарбасов Ерхан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720427302632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Сарбасов Оразхан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Сегызбаев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780619301222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Сейсеке Жидай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580118399072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Сейташимова Гайнигуль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591111400251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Ерболат Сейлханович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650926302213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Сейтказин Чайхуали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571212301883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Сексенбаев Айдар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Сабихан Кудыкенович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641103302339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 Жаммихан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570123301837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Серикбаева Асия Кумаровна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841211400794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Серікұлы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950812350127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Cіләмұлы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810401351112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Скакова Кадиша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600421402374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 Женыс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680210303175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Амангелды Черезданович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650129300175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Субханов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820513301484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Суйегенова Эльмира Шополатовна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751201403498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Сураужанов Мукан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570424300578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Сыдыков Казбек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590106302300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Сыршыба Нурлан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730112399039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Тайтикенов Кайырбек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590726301809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Тайтикенова Бахыткуль Кумарбековна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630807401111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Такей Минар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851101499053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Такенов Ербол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690610300962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Такенова гульжазира кадыровна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731118400895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Талапбек Шекай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660613350590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Таткенов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660702301962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Таякбаев Ермек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640119302412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Терликбаев Мурат Мурат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581029301474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Тасқын Тәрбиеұлы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911213399010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Жулдыз Нурлановна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851118402241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Тлеубаева Кульбану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550115403416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Тогузов Даулетхан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540427301606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Токжанов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Токтаганов Кымбатбек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670108301569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Токтаганов Серик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721126301849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Токтаганова Роза Ниязбековна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660101410455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Толеубай Мамыр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480503399041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Толеухан Кадысбек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681205399056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Тукушев Оразхан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600307302147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Тукушов Ержан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650222301862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Турганбаев Едыл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560816300933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Турсабаева Кулжамила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490628400101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Турсын даулет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800515303498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Түгелбай Бикен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710218350634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Тюлюкбаев Медет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800619301506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Уаңбай Серік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820321351417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Ульмесекова Гульмира Халеловна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640101414315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Азамат Бекмухаметович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861204301404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Ұйысбек Минаш Ұйысбек 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820112499075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Асхат Ерболұлы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841023301962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 Кулимхан Кабыловна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581012402743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Рекомендуемые схемы пастбищеоборота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расположения пастбищ на территории по Сарыоленскому сельскому округу Курчумского района в разрезе категорий земель</w:t>
      </w:r>
    </w:p>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рекомендуемых схем пастбищеоборотов, на который указываются схемы пастбищеоборотов, рекомендуемые на основании геоботанического обследования пастбищ</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Куйганскому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 обводнительным каналам, трубчатым и шахтным колодцам)</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Сарыоленскому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