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m="http://schemas.openxmlformats.org/officeDocument/2006/math"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2e90d7" w14:textId="52e90d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по Абайскому сельскому округу Курчумского района на 2026-2030 годы</w:t>
      </w:r>
    </w:p>
    <w:p>
      <w:pPr>
        <w:spacing w:after="0"/>
        <w:ind w:left="0"/>
        <w:jc w:val="both"/>
      </w:pPr>
      <w:r>
        <w:rPr>
          <w:rFonts w:ascii="Times New Roman"/>
          <w:b w:val="false"/>
          <w:i w:val="false"/>
          <w:color w:val="000000"/>
          <w:sz w:val="28"/>
        </w:rPr>
        <w:t>Решение Курчумского районного маслихата Восточно-Казахстанской области от 18 июня 2026 года № 54/5-VIII</w:t>
      </w:r>
    </w:p>
    <w:p>
      <w:pPr>
        <w:spacing w:after="0"/>
        <w:ind w:left="0"/>
        <w:jc w:val="both"/>
      </w:pPr>
      <w:bookmarkStart w:name="z1" w:id="0"/>
      <w:r>
        <w:rPr>
          <w:rFonts w:ascii="Times New Roman"/>
          <w:b w:val="false"/>
          <w:i w:val="false"/>
          <w:color w:val="000000"/>
          <w:sz w:val="28"/>
        </w:rPr>
        <w:t xml:space="preserve">
      В соответствии с подпунктом 15) пункта 1 статьи 6 Закона Республики Казахстан "О местном государственном управлении и самоуправлении в Республике Казахстан", подпунктом 1) статьи 8,  статьей 13 Закона Республики Казахстан "О пастбищах", приказом Заместителя Премьер - 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29 апреля 2020 года № 145 "Об утверждении Типовых правил выпаса сельскохозяйственных животных", Приказом Министра сельского хозяйства Республики Казахстан от 29 июля 2024 года № 263 "Об утверждении типового плана по управлению пастбищами и их использованию", Курчумский районный маслихат РЕШИЛ:</w:t>
      </w:r>
    </w:p>
    <w:bookmarkEnd w:id="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 Утвердить План по управлению пастбищами и их использованию по Абайскому сельскому округу Курчумского района на 2026-2030 годы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решению.</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 Признать утратившим </w:t>
      </w:r>
      <w:r>
        <w:rPr>
          <w:rFonts w:ascii="Times New Roman"/>
          <w:b w:val="false"/>
          <w:i w:val="false"/>
          <w:color w:val="000000"/>
          <w:sz w:val="28"/>
        </w:rPr>
        <w:t>решение</w:t>
      </w:r>
      <w:r>
        <w:rPr>
          <w:rFonts w:ascii="Times New Roman"/>
          <w:b w:val="false"/>
          <w:i w:val="false"/>
          <w:color w:val="000000"/>
          <w:sz w:val="28"/>
        </w:rPr>
        <w:t xml:space="preserve"> Курчумского районного маслихата от 26 декабря 2023 года № 14/6-VIII "Об утверждении Плана по управлению пастбищами и их использованию по Абайскому сельскому округу Курчумского района на 2023-2024 годы".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 Признать утратившим </w:t>
      </w:r>
      <w:r>
        <w:rPr>
          <w:rFonts w:ascii="Times New Roman"/>
          <w:b w:val="false"/>
          <w:i w:val="false"/>
          <w:color w:val="000000"/>
          <w:sz w:val="28"/>
        </w:rPr>
        <w:t>решение</w:t>
      </w:r>
      <w:r>
        <w:rPr>
          <w:rFonts w:ascii="Times New Roman"/>
          <w:b w:val="false"/>
          <w:i w:val="false"/>
          <w:color w:val="000000"/>
          <w:sz w:val="28"/>
        </w:rPr>
        <w:t xml:space="preserve"> Курчумского районного маслихата от 27 декабря 2021 года № 14/6-VII "Об утверждении Плана по управлению пастбищами и их использованию по Абайскому сельскому округу Курчумского района на 2021-2022 годы".</w:t>
      </w:r>
    </w:p>
    <w:bookmarkStart w:name="z5" w:id="1"/>
    <w:p>
      <w:pPr>
        <w:spacing w:after="0"/>
        <w:ind w:left="0"/>
        <w:jc w:val="both"/>
      </w:pPr>
      <w:r>
        <w:rPr>
          <w:rFonts w:ascii="Times New Roman"/>
          <w:b w:val="false"/>
          <w:i w:val="false"/>
          <w:color w:val="000000"/>
          <w:sz w:val="28"/>
        </w:rPr>
        <w:t>
      4. Настоящее решение вступает в силу по истечении десяти календарных дней после дня первого официального опубликования.</w:t>
      </w:r>
    </w:p>
    <w:bookmarkEnd w:id="1"/>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Председатель Курчумского районного маслихата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 Бахтияров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решению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Курчумского районного маслихата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18 июня 2026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54/5-VIІI</w:t>
            </w:r>
          </w:p>
        </w:tc>
      </w:tr>
    </w:tbl>
    <w:bookmarkStart w:name="z7" w:id="2"/>
    <w:p>
      <w:pPr>
        <w:spacing w:after="0"/>
        <w:ind w:left="0"/>
        <w:jc w:val="left"/>
      </w:pPr>
      <w:r>
        <w:rPr>
          <w:rFonts w:ascii="Times New Roman"/>
          <w:b/>
          <w:i w:val="false"/>
          <w:color w:val="000000"/>
        </w:rPr>
        <w:t xml:space="preserve"> План по управлению пастбищами и их использованию по Абайскому сельскому округу Курчумского района на 2026 - 2030 годы</w:t>
      </w:r>
    </w:p>
    <w:bookmarkEnd w:id="2"/>
    <w:bookmarkStart w:name="z8" w:id="3"/>
    <w:p>
      <w:pPr>
        <w:spacing w:after="0"/>
        <w:ind w:left="0"/>
        <w:jc w:val="both"/>
      </w:pPr>
      <w:r>
        <w:rPr>
          <w:rFonts w:ascii="Times New Roman"/>
          <w:b w:val="false"/>
          <w:i w:val="false"/>
          <w:color w:val="000000"/>
          <w:sz w:val="28"/>
        </w:rPr>
        <w:t xml:space="preserve">
      1. Настоящий План по управлению пастбищами и их использованию по Абайскому сельскому округу Курчумского района на 2026-2030 годы (далее – План) разработан в соответствии с подпунктом 15) пункта 1 статьи 6 Закона Республики Казахстан "О местном государственном управлении и самоуправлении в Республике Казахстан", подпунктом 1) статьи 8,  статьей 13 Закона Республики Казахстан "О пастбищах", Приказом Заместителя Премьер - 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29 апреля 2020 года № 145 "Об утверждении Типовых правил выпаса сельскохозяйственных животных", Приказом Министра сельского хозяйства Республики Казахстан от 29 июля 2024 года № 263 "Об утверждении типового плана по управлению пастбищами и их использованию".</w:t>
      </w:r>
    </w:p>
    <w:bookmarkEnd w:id="3"/>
    <w:bookmarkStart w:name="z9" w:id="4"/>
    <w:p>
      <w:pPr>
        <w:spacing w:after="0"/>
        <w:ind w:left="0"/>
        <w:jc w:val="both"/>
      </w:pPr>
      <w:r>
        <w:rPr>
          <w:rFonts w:ascii="Times New Roman"/>
          <w:b w:val="false"/>
          <w:i w:val="false"/>
          <w:color w:val="000000"/>
          <w:sz w:val="28"/>
        </w:rPr>
        <w:t>
      2.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bookmarkEnd w:id="4"/>
    <w:bookmarkStart w:name="z10" w:id="5"/>
    <w:p>
      <w:pPr>
        <w:spacing w:after="0"/>
        <w:ind w:left="0"/>
        <w:jc w:val="both"/>
      </w:pPr>
      <w:r>
        <w:rPr>
          <w:rFonts w:ascii="Times New Roman"/>
          <w:b w:val="false"/>
          <w:i w:val="false"/>
          <w:color w:val="000000"/>
          <w:sz w:val="28"/>
        </w:rPr>
        <w:t>
      3. При разработке Плана учитываются:</w:t>
      </w:r>
    </w:p>
    <w:bookmarkEnd w:id="5"/>
    <w:p>
      <w:pPr>
        <w:spacing w:after="0"/>
        <w:ind w:left="0"/>
        <w:jc w:val="both"/>
      </w:pPr>
      <w:r>
        <w:rPr>
          <w:rFonts w:ascii="Times New Roman"/>
          <w:b w:val="false"/>
          <w:i w:val="false"/>
          <w:color w:val="000000"/>
          <w:sz w:val="28"/>
        </w:rPr>
        <w:t xml:space="preserve">
      1) данные земельного баланса района и информационной системы государственного земельного кадастра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2) сведения геоботанического обследования пастбищ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3) сведения о скотомогильниках (биометрических ямах), формируемые в соответствии с Правилами ведения реестра скотомогильников (биотермических ям), утвержденными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3 февраля 2020 года № 35 (зарегистрирован в Реестре государственной регистрации нормативных правовых актов № 19987);</w:t>
      </w:r>
    </w:p>
    <w:p>
      <w:pPr>
        <w:spacing w:after="0"/>
        <w:ind w:left="0"/>
        <w:jc w:val="both"/>
      </w:pPr>
      <w:r>
        <w:rPr>
          <w:rFonts w:ascii="Times New Roman"/>
          <w:b w:val="false"/>
          <w:i w:val="false"/>
          <w:color w:val="000000"/>
          <w:sz w:val="28"/>
        </w:rPr>
        <w:t xml:space="preserve">
      4) сведения об объектах пастбищной инфраструктуры и о сервитутах для прогона сельскохозяйственных животных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5) данные о численности поголовья сельскохозяйственных животных, полученные из базы данных идентификации сельскохозяйственных животных, с указанием их владельцев по форме согласно таблице 1 приложения 4 к настоящему Плану;</w:t>
      </w:r>
    </w:p>
    <w:p>
      <w:pPr>
        <w:spacing w:after="0"/>
        <w:ind w:left="0"/>
        <w:jc w:val="both"/>
      </w:pPr>
      <w:r>
        <w:rPr>
          <w:rFonts w:ascii="Times New Roman"/>
          <w:b w:val="false"/>
          <w:i w:val="false"/>
          <w:color w:val="000000"/>
          <w:sz w:val="28"/>
        </w:rPr>
        <w:t>
      6) данные о количестве гуртов, отар, табунов, сформированных по видам и половозрастным группам сельскохозяйственных животных по форме согласно таблице 2 приложения 4 к настоящему Плану;</w:t>
      </w:r>
    </w:p>
    <w:p>
      <w:pPr>
        <w:spacing w:after="0"/>
        <w:ind w:left="0"/>
        <w:jc w:val="both"/>
      </w:pPr>
      <w:r>
        <w:rPr>
          <w:rFonts w:ascii="Times New Roman"/>
          <w:b w:val="false"/>
          <w:i w:val="false"/>
          <w:color w:val="000000"/>
          <w:sz w:val="28"/>
        </w:rPr>
        <w:t xml:space="preserve">
      7) сведения о численности поголовья сельскохозяйственных животных для выпаса на отгонных пастбищах по форме согласно таблице 3 </w:t>
      </w:r>
      <w:r>
        <w:rPr>
          <w:rFonts w:ascii="Times New Roman"/>
          <w:b w:val="false"/>
          <w:i w:val="false"/>
          <w:color w:val="000000"/>
          <w:sz w:val="28"/>
        </w:rPr>
        <w:t>приложения 4</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8) данные об особенностях выпаса сельскохозяйственных животных на культурных и аридных пастбищах, землях лесного, водного фондов и особо охраняемых природных территорий (по Абайскому сельскому округу Курчумского района отсутствуют в связи с отсутствием культурных и аридных пастбищ, а также отсутствием выпаса на землях лесного, водного фондов и особо охраняемых природных территорий).</w:t>
      </w:r>
    </w:p>
    <w:p>
      <w:pPr>
        <w:spacing w:after="0"/>
        <w:ind w:left="0"/>
        <w:jc w:val="both"/>
      </w:pPr>
      <w:r>
        <w:rPr>
          <w:rFonts w:ascii="Times New Roman"/>
          <w:b w:val="false"/>
          <w:i w:val="false"/>
          <w:color w:val="000000"/>
          <w:sz w:val="28"/>
        </w:rPr>
        <w:t>
      9) рекомендуемые схемы пастбищеоборотов по форме согласно приложению 5 к настоящему Плану;</w:t>
      </w:r>
    </w:p>
    <w:p>
      <w:pPr>
        <w:spacing w:after="0"/>
        <w:ind w:left="0"/>
        <w:jc w:val="both"/>
      </w:pPr>
      <w:r>
        <w:rPr>
          <w:rFonts w:ascii="Times New Roman"/>
          <w:b w:val="false"/>
          <w:i w:val="false"/>
          <w:color w:val="000000"/>
          <w:sz w:val="28"/>
        </w:rPr>
        <w:t xml:space="preserve">
      10) официальная статистическая информация по статистике животноводства и растениеводства (официальная статистическая информация по статистике животноводства предоставлена КГП на ПХВ "Курчум-Вет" Управления ветеринарии Восточно-Казахстанской области и содержится в приложениях: приложение 1 таблица 3, </w:t>
      </w:r>
      <w:r>
        <w:rPr>
          <w:rFonts w:ascii="Times New Roman"/>
          <w:b w:val="false"/>
          <w:i w:val="false"/>
          <w:color w:val="000000"/>
          <w:sz w:val="28"/>
        </w:rPr>
        <w:t>приложение 4</w:t>
      </w:r>
      <w:r>
        <w:rPr>
          <w:rFonts w:ascii="Times New Roman"/>
          <w:b w:val="false"/>
          <w:i w:val="false"/>
          <w:color w:val="000000"/>
          <w:sz w:val="28"/>
        </w:rPr>
        <w:t xml:space="preserve"> таблица 1, таблица 2, таблица 3. Официальная статистическая информация по статистике растениеводства предоставлена филиалом РГП на ПХВ "ГИПРОзем" по Восточно-Казахстанской области и содержится в приложении 2).</w:t>
      </w:r>
    </w:p>
    <w:p>
      <w:pPr>
        <w:spacing w:after="0"/>
        <w:ind w:left="0"/>
        <w:jc w:val="both"/>
      </w:pPr>
      <w:r>
        <w:rPr>
          <w:rFonts w:ascii="Times New Roman"/>
          <w:b w:val="false"/>
          <w:i w:val="false"/>
          <w:color w:val="000000"/>
          <w:sz w:val="28"/>
        </w:rPr>
        <w:t>
      4. План содержит следующие приложения:</w:t>
      </w:r>
    </w:p>
    <w:p>
      <w:pPr>
        <w:spacing w:after="0"/>
        <w:ind w:left="0"/>
        <w:jc w:val="both"/>
      </w:pPr>
      <w:r>
        <w:rPr>
          <w:rFonts w:ascii="Times New Roman"/>
          <w:b w:val="false"/>
          <w:i w:val="false"/>
          <w:color w:val="000000"/>
          <w:sz w:val="28"/>
        </w:rPr>
        <w:t>
      1) схема (карта) расположения пастбищ на территории по Абайскому сельскому округу Курчумского района в разрезе категорий земель, на которой указываются границы, площади и виды пастбищ, в том числе отгонных, сезонных, аридных и культурных, сведения об их собственниках или землепользователях на основании правоустанавливающих и идентификационных документов на земельный участок;</w:t>
      </w:r>
    </w:p>
    <w:p>
      <w:pPr>
        <w:spacing w:after="0"/>
        <w:ind w:left="0"/>
        <w:jc w:val="both"/>
      </w:pPr>
      <w:r>
        <w:rPr>
          <w:rFonts w:ascii="Times New Roman"/>
          <w:b w:val="false"/>
          <w:i w:val="false"/>
          <w:color w:val="000000"/>
          <w:sz w:val="28"/>
        </w:rPr>
        <w:t>
      2) схема (карта) с обозначением пастбищ, предназначенных для нужд населения по выпасу сельскохозяйственных животных личного подворья, в том числе общественных пастбищ, на которой указываются границы и площади пастбищ, в том числе общественных пастбищ, предназначенных для нужд населения по выпасу сельскохозяйственных животных личного подворья;</w:t>
      </w:r>
    </w:p>
    <w:p>
      <w:pPr>
        <w:spacing w:after="0"/>
        <w:ind w:left="0"/>
        <w:jc w:val="both"/>
      </w:pPr>
      <w:r>
        <w:rPr>
          <w:rFonts w:ascii="Times New Roman"/>
          <w:b w:val="false"/>
          <w:i w:val="false"/>
          <w:color w:val="000000"/>
          <w:sz w:val="28"/>
        </w:rPr>
        <w:t>
      3) схема (карта) с обозначением рекомендуемых схем пастбищеоборотов, на которой указываются схемы пастбищеоборотов, рекомендуемые на основании геоботанического обследования пастбищ;</w:t>
      </w:r>
    </w:p>
    <w:p>
      <w:pPr>
        <w:spacing w:after="0"/>
        <w:ind w:left="0"/>
        <w:jc w:val="both"/>
      </w:pPr>
      <w:r>
        <w:rPr>
          <w:rFonts w:ascii="Times New Roman"/>
          <w:b w:val="false"/>
          <w:i w:val="false"/>
          <w:color w:val="000000"/>
          <w:sz w:val="28"/>
        </w:rPr>
        <w:t>
      4) схема (карта) с обозначением сервитутов для прогона сельскохозяйственных животных, скотопрогонных трасс и иных объектов пастбищной инфраструктуры, а также скотомогильников (биометрических ям), на которой указываются сервитуты для прогона сельскохозяйственных животных, скотопрогонные трассы, объекты пастбищной инфраструктуры, месторасположение скотомогильников (биометрических ям);</w:t>
      </w:r>
    </w:p>
    <w:p>
      <w:pPr>
        <w:spacing w:after="0"/>
        <w:ind w:left="0"/>
        <w:jc w:val="both"/>
      </w:pPr>
      <w:r>
        <w:rPr>
          <w:rFonts w:ascii="Times New Roman"/>
          <w:b w:val="false"/>
          <w:i w:val="false"/>
          <w:color w:val="000000"/>
          <w:sz w:val="28"/>
        </w:rPr>
        <w:t>
      5) схема (карта) с обозначением пастбищ, которые могут быть предоставлены в землепользование пастбищепользователям;</w:t>
      </w:r>
    </w:p>
    <w:p>
      <w:pPr>
        <w:spacing w:after="0"/>
        <w:ind w:left="0"/>
        <w:jc w:val="both"/>
      </w:pPr>
      <w:r>
        <w:rPr>
          <w:rFonts w:ascii="Times New Roman"/>
          <w:b w:val="false"/>
          <w:i w:val="false"/>
          <w:color w:val="000000"/>
          <w:sz w:val="28"/>
        </w:rPr>
        <w:t>
      6) схема доступа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 на которой указываются маршруты передвижения животных к водоисточникам;</w:t>
      </w:r>
    </w:p>
    <w:p>
      <w:pPr>
        <w:spacing w:after="0"/>
        <w:ind w:left="0"/>
        <w:jc w:val="both"/>
      </w:pPr>
      <w:r>
        <w:rPr>
          <w:rFonts w:ascii="Times New Roman"/>
          <w:b w:val="false"/>
          <w:i w:val="false"/>
          <w:color w:val="000000"/>
          <w:sz w:val="28"/>
        </w:rPr>
        <w:t>
      7) схема размещения поголовья сельскохозяйственных животных на отгонных пастбищах, на которой указываются границы и площади отгонных пастбищ для размещения поголовья сельскохозяйственных животных;</w:t>
      </w:r>
    </w:p>
    <w:p>
      <w:pPr>
        <w:spacing w:after="0"/>
        <w:ind w:left="0"/>
        <w:jc w:val="both"/>
      </w:pPr>
      <w:r>
        <w:rPr>
          <w:rFonts w:ascii="Times New Roman"/>
          <w:b w:val="false"/>
          <w:i w:val="false"/>
          <w:color w:val="000000"/>
          <w:sz w:val="28"/>
        </w:rPr>
        <w:t>
      8) проектное распределение (перераспределение) пастбищ между сельскими населенными пунктами, входящими в сельский округ, на котором указывается схема распределения (перераспределения) пастбищ между сельскими населенными пунктами сельского округа для поголовья сельскохозяйственных животных физических и юридических лиц, не обеспеченных пастбищами (перераспределение пастбищ не производится в связи с отсутствием нехватки пастбищ в сельских населенных пунктах);</w:t>
      </w:r>
    </w:p>
    <w:p>
      <w:pPr>
        <w:spacing w:after="0"/>
        <w:ind w:left="0"/>
        <w:jc w:val="both"/>
      </w:pPr>
      <w:r>
        <w:rPr>
          <w:rFonts w:ascii="Times New Roman"/>
          <w:b w:val="false"/>
          <w:i w:val="false"/>
          <w:color w:val="000000"/>
          <w:sz w:val="28"/>
        </w:rPr>
        <w:t>
      9) требования, необходимые для рационального использования пастбищ на территории по Абайскому сельскому округу Курчумского района, к которым относятся:</w:t>
      </w:r>
    </w:p>
    <w:p>
      <w:pPr>
        <w:spacing w:after="0"/>
        <w:ind w:left="0"/>
        <w:jc w:val="both"/>
      </w:pPr>
      <w:r>
        <w:rPr>
          <w:rFonts w:ascii="Times New Roman"/>
          <w:b w:val="false"/>
          <w:i w:val="false"/>
          <w:color w:val="000000"/>
          <w:sz w:val="28"/>
        </w:rPr>
        <w:t>
      соблюдение предельно допустимой нормы нагрузки на общую площадь пастбищ согласно  приказу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использование пастбищ с учетом пастбищеоборотов и источников водопользований;</w:t>
      </w:r>
    </w:p>
    <w:p>
      <w:pPr>
        <w:spacing w:after="0"/>
        <w:ind w:left="0"/>
        <w:jc w:val="both"/>
      </w:pPr>
      <w:r>
        <w:rPr>
          <w:rFonts w:ascii="Times New Roman"/>
          <w:b w:val="false"/>
          <w:i w:val="false"/>
          <w:color w:val="000000"/>
          <w:sz w:val="28"/>
        </w:rPr>
        <w:t>
      разбивка площадей пастбищ на отдельные выпасные участки;</w:t>
      </w:r>
    </w:p>
    <w:p>
      <w:pPr>
        <w:spacing w:after="0"/>
        <w:ind w:left="0"/>
        <w:jc w:val="both"/>
      </w:pPr>
      <w:r>
        <w:rPr>
          <w:rFonts w:ascii="Times New Roman"/>
          <w:b w:val="false"/>
          <w:i w:val="false"/>
          <w:color w:val="000000"/>
          <w:sz w:val="28"/>
        </w:rPr>
        <w:t>
      чередование участков пастбищ по сезонам года в пространстве и во времени (внутри сезона, года);</w:t>
      </w:r>
    </w:p>
    <w:p>
      <w:pPr>
        <w:spacing w:after="0"/>
        <w:ind w:left="0"/>
        <w:jc w:val="both"/>
      </w:pPr>
      <w:r>
        <w:rPr>
          <w:rFonts w:ascii="Times New Roman"/>
          <w:b w:val="false"/>
          <w:i w:val="false"/>
          <w:color w:val="000000"/>
          <w:sz w:val="28"/>
        </w:rPr>
        <w:t>
      ежегодное оставление одного из участков пастбищеоборота без выпаса и сельскохозяйственных животных.</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Абайскому сельскому округу</w:t>
            </w:r>
            <w:r>
              <w:br/>
            </w:r>
            <w:r>
              <w:rPr>
                <w:rFonts w:ascii="Times New Roman"/>
                <w:b w:val="false"/>
                <w:i w:val="false"/>
                <w:color w:val="000000"/>
                <w:sz w:val="20"/>
              </w:rPr>
              <w:t>Курчумского района</w:t>
            </w:r>
            <w:r>
              <w:br/>
            </w:r>
            <w:r>
              <w:rPr>
                <w:rFonts w:ascii="Times New Roman"/>
                <w:b w:val="false"/>
                <w:i w:val="false"/>
                <w:color w:val="000000"/>
                <w:sz w:val="20"/>
              </w:rPr>
              <w:t>на 2026-2030 годы</w:t>
            </w:r>
          </w:p>
        </w:tc>
      </w:tr>
    </w:tbl>
    <w:bookmarkStart w:name="z12" w:id="6"/>
    <w:p>
      <w:pPr>
        <w:spacing w:after="0"/>
        <w:ind w:left="0"/>
        <w:jc w:val="left"/>
      </w:pPr>
      <w:r>
        <w:rPr>
          <w:rFonts w:ascii="Times New Roman"/>
          <w:b/>
          <w:i w:val="false"/>
          <w:color w:val="000000"/>
        </w:rPr>
        <w:t xml:space="preserve"> Данные информационного системы баланса земель и государственного земельного кадастра Абайского сельского округа Курчумского района</w:t>
      </w:r>
    </w:p>
    <w:bookmarkEnd w:id="6"/>
    <w:p>
      <w:pPr>
        <w:spacing w:after="0"/>
        <w:ind w:left="0"/>
        <w:jc w:val="both"/>
      </w:pPr>
      <w:r>
        <w:rPr>
          <w:rFonts w:ascii="Times New Roman"/>
          <w:b w:val="false"/>
          <w:i w:val="false"/>
          <w:color w:val="000000"/>
          <w:sz w:val="28"/>
        </w:rPr>
        <w:t>
      Таблица 1. Распределение пастбищ по категориям земель Абайского сельского округа Курчумского района, гектары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классификатора административно-территориальных объектов</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Категории земель</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земель</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Сельскохозяйственного назначения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населенных пунктов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промышленности, транспорта, связи и иного не сельскохозяйственного назначения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особо охраняемых природных территорий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лесного фонда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водного фонда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запаса</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Абайский сельский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635233000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96158</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Таблица 2. Распределение пастбищ населенного пункта, гектаров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p>
                  <w:pPr>
                    <w:spacing w:after="20"/>
                    <w:ind w:left="20"/>
                    <w:jc w:val="both"/>
                  </w:pPr>
                  <w:r>
                    <w:rPr>
                      <w:rFonts w:ascii="Times New Roman"/>
                      <w:b w:val="false"/>
                      <w:i w:val="false"/>
                      <w:color w:val="000000"/>
                      <w:sz w:val="20"/>
                    </w:rPr>
                    <w:t>
п/п</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классификатора административно-территориальных объектов</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гектаров</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и виды пастбищ</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общественные, гектаров</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отгонные, гектаров</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сезонные, гектаров</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аридные, гектаров</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культурные, гектаров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предназначенные для удовлетворения нужд населен по выпасу сельскохозяйственных животных личного подворья, гектаров</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Абайский сельский округ</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635233100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Бурабай</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635233300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Койтас</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635233400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с.Теректы-булак</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Таблица 3. Сведения о собственниках и землепользователях на основании правоустанавливающих и идентификационных документов на земельный участок</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p>
            <w:pPr>
              <w:spacing w:after="20"/>
              <w:ind w:left="20"/>
              <w:jc w:val="both"/>
            </w:pPr>
            <w:r>
              <w:rPr>
                <w:rFonts w:ascii="Times New Roman"/>
                <w:b w:val="false"/>
                <w:i w:val="false"/>
                <w:color w:val="000000"/>
                <w:sz w:val="20"/>
              </w:rPr>
              <w:t>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собственников, землепользователей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БИН, ИИН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Кадастровый номер земельного участка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Площадь пастбищ, гектаров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Әбек Ыбырайым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871004351445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Әбікеш Рақымбай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500705399036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Әлімғожин Болат "Арғын"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400202300081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Абралимов Абзал Нурланович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740621302284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Абралимов Нурлан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500303302246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05-072-019-380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Акиолдин Бейбит Алыбекович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831126301683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Актанова Батима Жумашевна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580303400270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Алибекұлы Сырым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940712350756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05-072-019-238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Амиренов Кенжекан Есимканович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560109301096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Амиренов Кенжекан Есимканович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560109301096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Амиренова Багзада Тлеукановна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571110400420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Амренов Кенжегалии Калиякперович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691006302182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Ареков Беглан Омирбекович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761115301291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Ареков Беглан Омирбекович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761115301291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Ашуов Сайлаубек Рақышұлы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580910300294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Ашуов Сайлаубек Рақышұлы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580910300294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Баймухамбетов Адил Кенесханович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690531301146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Баймухамбетов Адил Кенесханович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690531301146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05-072-019-209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Байырхан Абдолла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480705301524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Бақтияров Әлібек Калирахимұлы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690421300982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Бақтияров Әлібек қалирахимұлы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690421300982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"Азат" кретьянское хозяйство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451119400495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Болысканов Бейбит Толендыулы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841203301930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05-072-019-335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Боразбек Ынтымақ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700510350550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05-072-019-319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Боразбек Ынтымақ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201040035472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05-072-019-366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Бұлжан Сәтбек Рәбілұлы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690512300858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05-072-019-223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Дамұхан Мұқамет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880219303423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05-072-019-324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Дамұхан Мұқамет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880219303423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05-072-019-344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Дөкен Оразқан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900407001317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05-072-019-340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Дюсупов Куматай Кыдыкенович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610226301758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Дюсупов Куматай Кыдыкенович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610226301758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Дюсупов Куматай Кыдыкенович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610226301758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05-072-019-298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Елеубаева Орынжамал Абдолдиновна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520507400645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Есимханов Бекайдар Зимуханбетович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560618301698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05-072-019-381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Жагипаров Бакыт Кокенович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790220300504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05-072-019-342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Жаксылыков Медет Толеуханович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810414302422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05-072-019-312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Жанаева Кумыс Асимбековна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510204401446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Жанбагисов Камбар Магидолданович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610101310579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Жанбагисов Камбар Магидолданович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610101310579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05-072-019-330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Зейнел Рахметқали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770405399096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05-072-019-318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Кабдулин Турганбек Акманович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751114302420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05-072-019-269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Кабдуллин Аргынбек Ахманович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650126302610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Кабдуллин Аргынбек Ахманович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650126302610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Кабдуллин Аргынбек Ахманович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650126302610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05-072-019-207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Кабдуллин Аргынбек Ахманович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650126302610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05-072-019-277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Кабдуллин Аргынбек Ахманович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650126302610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Кабдуллин Аргынбек Ахманович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650126302610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05-072-019-369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Кабдуллин Аргынбек Ахманович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650126302610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05-072-019-376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Кабдыгалиев Берикхан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601129300096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Кабдыгалиев Мурат Кибатолдаевич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621015300211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Кабдыгалиев Мурат Кибатолдаевич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621015300211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Казбаева Кульсарай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390101406688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Казиманова Алмажан Фазыловна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530620400146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Каменов Болат Кадырович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680317301468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05-072-019-307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Каменов Болат Кадырович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680317301468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05-072-019-308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Каменов Болат Кадырович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680317301468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05-072-019-333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Кизатаев Марат Муканович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731231300338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Кизатаев Марат Муканович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731231300338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05-072-019-331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Кожабаев Мурат Мырзабаевич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670511302072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Кожабаев Мурат Мырзабаевич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670511302072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05-072-019-325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Кожанов Шеризат Болатбекович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690212300222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Кустубаева Раушан Саветбековна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660103401615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Кустубаева Раушан Саветбековна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660103401615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05-072-019-359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Кустубаева Раушан Саветбековна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660103401615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Қапдығалым Бейсен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850808399127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05-072-019-299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Қапдығалым Бейсен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850808399127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Қапдығалым Бейсен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850808399127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Крестьянское хозяйство "Қуат"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73123130038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Маденов Базархан Тілеуханұлы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591115302769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05-072-019-306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Маденов Базархан Тілеуханұлы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591115302769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05-072-019-338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Малиев Баянды Болатович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810103302233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05-072-019-309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Малиев Баянды Болатович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810103302233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Малиев Баянды Болатович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810103302233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05-072-019-341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Малиев Саян Болатулы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771207300265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Муханов Кадирбек Манапович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550604301628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Набиева Багжамал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470508400183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Наурузбаев Ербол Абылкаирович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700619302187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05-072-019-278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Нукаева Самал Алибековна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851219400707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Нурсадыков Бакжан Кабдыкаримович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780726300692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05-072-019-273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Нурсадыков Бакжан Кабдыкаримович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780726300692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05-072-019-291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Нурсадыков Бакжан Кабдыкаримович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780726300692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05-072-019-353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Нурсадыков Бакжан Кабдыкаримович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780726300692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05-072-019-379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Нурсадыков Нуржан Кабдыкаримұлы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670314300203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"Даулет"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490213400341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Нұрахымет Нұртай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880307302897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Ошакбаев Кадылбек Карменович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600207302384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Ошакбаев Кадылбек Карменович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600207302384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05-072-019-193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Ракымбай Курметкан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740202303462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05-072-019-303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СагатовЕлемес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390202300671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Сагидолдина Кулсун Аблхаировна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520330400217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05-072-019-350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Садыкова Бинагуль Омирбекқызы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680221402163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Салкымбаев Еркеш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590815300309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05-072-019-258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Сергазин Мейрамбек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401108300083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Солтанғожанов Бекболат Жұмағожаұлы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910302351076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05-072-019-323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Ержан Марданович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71110730414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Ержан Марданович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711107304144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Ержан Марданович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711107304144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05-072-019-346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Рауан Марданович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820522301423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05-072-019-219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СулейменовЕржан Марданович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711107304144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Сыдық Самғау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810501399051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05-072-019-237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Таутан Дәулетбек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810207350912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05-072-019-334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Темиргалиев Куандык Казизбекович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710110302974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Темиргалиев Куандык Казизбекович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710110302974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Темиргалиев Куандык Казизбекович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710110302974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Темиргалиев Куандык Казизбекович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710110302974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05-072-019-370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Темиргалиев Куандык Казизбекович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710110302974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05-072-019-371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Темиреева Магира Кумашевна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560924400065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05-072-019-283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1588,60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Тойгожанов Кайрат Серикович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760306301871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Тойгожанов Кайрат Серикович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760306301871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Тойгожанов Кайрат Серикович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760306301871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05-072-019-336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Тойгожанов Кайрат Серикович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760306301871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05-072-019-337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Токтаров Бауржан Саркытович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630629301851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05-072-019-377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"BASAGRO"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230640018596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Төлепберді Еркін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690119399038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05-072-019-229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Хайруллин Қуаныш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720102300639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Хатиятуллин Марат Советбекович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760922302746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Ырысбек Қалиқан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750207399139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05-072-019-383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Ырысбек Қалиқан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750207399139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05-072-019-256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422,00</w:t>
            </w:r>
          </w:p>
        </w:tc>
      </w:tr>
    </w:tbl>
    <w:p>
      <w:pPr>
        <w:spacing w:after="0"/>
        <w:ind w:left="0"/>
        <w:jc w:val="both"/>
      </w:pPr>
      <w:r>
        <w:rPr>
          <w:rFonts w:ascii="Times New Roman"/>
          <w:b w:val="false"/>
          <w:i w:val="false"/>
          <w:color w:val="000000"/>
          <w:sz w:val="28"/>
        </w:rPr>
        <w:t>
      Для выпаса скота местных жителей Абайского сельского округа Курчумского района передано 7798 гектара.</w:t>
      </w:r>
    </w:p>
    <w:p>
      <w:pPr>
        <w:spacing w:after="0"/>
        <w:ind w:left="0"/>
        <w:jc w:val="both"/>
      </w:pPr>
      <w:r>
        <w:rPr>
          <w:rFonts w:ascii="Times New Roman"/>
          <w:b w:val="false"/>
          <w:i w:val="false"/>
          <w:color w:val="000000"/>
          <w:sz w:val="28"/>
        </w:rPr>
        <w:t>
      Основными пользователями пастбищ являются жители сел Бурабай, Койтас, Жылытау Абайского сельского округа Курчумского района.</w:t>
      </w:r>
    </w:p>
    <w:p>
      <w:pPr>
        <w:spacing w:after="0"/>
        <w:ind w:left="0"/>
        <w:jc w:val="both"/>
      </w:pPr>
      <w:r>
        <w:rPr>
          <w:rFonts w:ascii="Times New Roman"/>
          <w:b w:val="false"/>
          <w:i w:val="false"/>
          <w:color w:val="000000"/>
          <w:sz w:val="28"/>
        </w:rPr>
        <w:t>
      План принят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На 1 января 2025 года в Абайском сельском округе Курчумского района насчитывается у личного подворья населения: крупного рогатого скота - 2476 голов, мелкого рогатого скота - 4813 голов, лошадей - 1156 головы.</w:t>
      </w:r>
    </w:p>
    <w:p>
      <w:pPr>
        <w:spacing w:after="0"/>
        <w:ind w:left="0"/>
        <w:jc w:val="both"/>
      </w:pPr>
      <w:r>
        <w:rPr>
          <w:rFonts w:ascii="Times New Roman"/>
          <w:b w:val="false"/>
          <w:i w:val="false"/>
          <w:color w:val="000000"/>
          <w:sz w:val="28"/>
        </w:rPr>
        <w:t>
      В селе Бурабай:</w:t>
      </w:r>
    </w:p>
    <w:p>
      <w:pPr>
        <w:spacing w:after="0"/>
        <w:ind w:left="0"/>
        <w:jc w:val="both"/>
      </w:pPr>
      <w:r>
        <w:rPr>
          <w:rFonts w:ascii="Times New Roman"/>
          <w:b w:val="false"/>
          <w:i w:val="false"/>
          <w:color w:val="000000"/>
          <w:sz w:val="28"/>
        </w:rPr>
        <w:t>
      крупного рогатого скота - 865 голов, мелкого рогатого скота - 1523 голов, лошадей - 328 головы.</w:t>
      </w:r>
    </w:p>
    <w:p>
      <w:pPr>
        <w:spacing w:after="0"/>
        <w:ind w:left="0"/>
        <w:jc w:val="both"/>
      </w:pPr>
      <w:r>
        <w:rPr>
          <w:rFonts w:ascii="Times New Roman"/>
          <w:b w:val="false"/>
          <w:i w:val="false"/>
          <w:color w:val="000000"/>
          <w:sz w:val="28"/>
        </w:rPr>
        <w:t>
      Площадь пастбищ села Бурабай - 4324 га гектар.</w:t>
      </w:r>
    </w:p>
    <w:p>
      <w:pPr>
        <w:spacing w:after="0"/>
        <w:ind w:left="0"/>
        <w:jc w:val="both"/>
      </w:pPr>
      <w:r>
        <w:rPr>
          <w:rFonts w:ascii="Times New Roman"/>
          <w:b w:val="false"/>
          <w:i w:val="false"/>
          <w:color w:val="000000"/>
          <w:sz w:val="28"/>
        </w:rPr>
        <w:t>
      В селе Койтас:</w:t>
      </w:r>
    </w:p>
    <w:p>
      <w:pPr>
        <w:spacing w:after="0"/>
        <w:ind w:left="0"/>
        <w:jc w:val="both"/>
      </w:pPr>
      <w:r>
        <w:rPr>
          <w:rFonts w:ascii="Times New Roman"/>
          <w:b w:val="false"/>
          <w:i w:val="false"/>
          <w:color w:val="000000"/>
          <w:sz w:val="28"/>
        </w:rPr>
        <w:t>
      крупного рогатого скота - 701 голов, мелкого рогатого скота - 1143 голов, лошадей - 530 головы.</w:t>
      </w:r>
    </w:p>
    <w:p>
      <w:pPr>
        <w:spacing w:after="0"/>
        <w:ind w:left="0"/>
        <w:jc w:val="both"/>
      </w:pPr>
      <w:r>
        <w:rPr>
          <w:rFonts w:ascii="Times New Roman"/>
          <w:b w:val="false"/>
          <w:i w:val="false"/>
          <w:color w:val="000000"/>
          <w:sz w:val="28"/>
        </w:rPr>
        <w:t>
      Площадь пастбищ села Койтас - 3042 гектар.</w:t>
      </w:r>
    </w:p>
    <w:p>
      <w:pPr>
        <w:spacing w:after="0"/>
        <w:ind w:left="0"/>
        <w:jc w:val="both"/>
      </w:pPr>
      <w:r>
        <w:rPr>
          <w:rFonts w:ascii="Times New Roman"/>
          <w:b w:val="false"/>
          <w:i w:val="false"/>
          <w:color w:val="000000"/>
          <w:sz w:val="28"/>
        </w:rPr>
        <w:t>
      В селе Теректыбулак:</w:t>
      </w:r>
    </w:p>
    <w:p>
      <w:pPr>
        <w:spacing w:after="0"/>
        <w:ind w:left="0"/>
        <w:jc w:val="both"/>
      </w:pPr>
      <w:r>
        <w:rPr>
          <w:rFonts w:ascii="Times New Roman"/>
          <w:b w:val="false"/>
          <w:i w:val="false"/>
          <w:color w:val="000000"/>
          <w:sz w:val="28"/>
        </w:rPr>
        <w:t>
      крупного рогатого скота - 938 голов, мелкого рогатого скота - 2189 голов, лошадей - 296 головы.</w:t>
      </w:r>
    </w:p>
    <w:p>
      <w:pPr>
        <w:spacing w:after="0"/>
        <w:ind w:left="0"/>
        <w:jc w:val="both"/>
      </w:pPr>
      <w:r>
        <w:rPr>
          <w:rFonts w:ascii="Times New Roman"/>
          <w:b w:val="false"/>
          <w:i w:val="false"/>
          <w:color w:val="000000"/>
          <w:sz w:val="28"/>
        </w:rPr>
        <w:t>
      На 1 января 2025 года в Абайском сельском округе Курчумского района насчитывается у крестьянских хозяйств и ТОО: крупного рогатого скота - 4529 голов, мелкого рогатого скота - 13436 голов, лошадей - 1972 головы.</w:t>
      </w:r>
    </w:p>
    <w:p>
      <w:pPr>
        <w:spacing w:after="0"/>
        <w:ind w:left="0"/>
        <w:jc w:val="both"/>
      </w:pPr>
      <w:r>
        <w:rPr>
          <w:rFonts w:ascii="Times New Roman"/>
          <w:b w:val="false"/>
          <w:i w:val="false"/>
          <w:color w:val="000000"/>
          <w:sz w:val="28"/>
        </w:rPr>
        <w:t>
      В селе Бурабай:</w:t>
      </w:r>
    </w:p>
    <w:p>
      <w:pPr>
        <w:spacing w:after="0"/>
        <w:ind w:left="0"/>
        <w:jc w:val="both"/>
      </w:pPr>
      <w:r>
        <w:rPr>
          <w:rFonts w:ascii="Times New Roman"/>
          <w:b w:val="false"/>
          <w:i w:val="false"/>
          <w:color w:val="000000"/>
          <w:sz w:val="28"/>
        </w:rPr>
        <w:t>
      крупного рогатого скота - 2185 голов, мелкого рогатого скота - 6757 голов, лошадей - 1096 головы.</w:t>
      </w:r>
    </w:p>
    <w:p>
      <w:pPr>
        <w:spacing w:after="0"/>
        <w:ind w:left="0"/>
        <w:jc w:val="both"/>
      </w:pPr>
      <w:r>
        <w:rPr>
          <w:rFonts w:ascii="Times New Roman"/>
          <w:b w:val="false"/>
          <w:i w:val="false"/>
          <w:color w:val="000000"/>
          <w:sz w:val="28"/>
        </w:rPr>
        <w:t>
      В селе Койтас:</w:t>
      </w:r>
    </w:p>
    <w:p>
      <w:pPr>
        <w:spacing w:after="0"/>
        <w:ind w:left="0"/>
        <w:jc w:val="both"/>
      </w:pPr>
      <w:r>
        <w:rPr>
          <w:rFonts w:ascii="Times New Roman"/>
          <w:b w:val="false"/>
          <w:i w:val="false"/>
          <w:color w:val="000000"/>
          <w:sz w:val="28"/>
        </w:rPr>
        <w:t>
      крупного рогатого скота - 1297 голов, мелкого рогатого скота - 1157 голов, лошадей - 678 головы.</w:t>
      </w:r>
    </w:p>
    <w:p>
      <w:pPr>
        <w:spacing w:after="0"/>
        <w:ind w:left="0"/>
        <w:jc w:val="both"/>
      </w:pPr>
      <w:r>
        <w:rPr>
          <w:rFonts w:ascii="Times New Roman"/>
          <w:b w:val="false"/>
          <w:i w:val="false"/>
          <w:color w:val="000000"/>
          <w:sz w:val="28"/>
        </w:rPr>
        <w:t>
      В селе Теректыбулак:</w:t>
      </w:r>
    </w:p>
    <w:p>
      <w:pPr>
        <w:spacing w:after="0"/>
        <w:ind w:left="0"/>
        <w:jc w:val="both"/>
      </w:pPr>
      <w:r>
        <w:rPr>
          <w:rFonts w:ascii="Times New Roman"/>
          <w:b w:val="false"/>
          <w:i w:val="false"/>
          <w:color w:val="000000"/>
          <w:sz w:val="28"/>
        </w:rPr>
        <w:t>
      крупного рогатого скота - 602 голов, мелкого рогатого скота - 158 голов, лошадей - 275 головы.</w:t>
      </w:r>
    </w:p>
    <w:p>
      <w:pPr>
        <w:spacing w:after="0"/>
        <w:ind w:left="0"/>
        <w:jc w:val="both"/>
      </w:pPr>
      <w:r>
        <w:rPr>
          <w:rFonts w:ascii="Times New Roman"/>
          <w:b w:val="false"/>
          <w:i w:val="false"/>
          <w:color w:val="000000"/>
          <w:sz w:val="28"/>
        </w:rPr>
        <w:t>
      Таблица № 4. Распределение пастбищ</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сельского округа</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классификатора административно-территориальных</w:t>
            </w:r>
          </w:p>
          <w:p>
            <w:pPr>
              <w:spacing w:after="20"/>
              <w:ind w:left="20"/>
              <w:jc w:val="both"/>
            </w:pPr>
            <w:r>
              <w:rPr>
                <w:rFonts w:ascii="Times New Roman"/>
                <w:b w:val="false"/>
                <w:i w:val="false"/>
                <w:color w:val="000000"/>
                <w:sz w:val="20"/>
              </w:rPr>
              <w:t>
объектов</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населенного пункта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Необходимая площадь пастбищ для сельскохозяйственных животных, тысяч гектаров</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общественных пастбищ, тысяч гектаров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Абайский сельский округ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635233100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Бурабай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635233300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Койтас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635233400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cело Теректыбулак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0,432</w:t>
            </w:r>
          </w:p>
        </w:tc>
      </w:tr>
    </w:tbl>
    <w:p>
      <w:pPr>
        <w:spacing w:after="0"/>
        <w:ind w:left="0"/>
        <w:jc w:val="both"/>
      </w:pPr>
      <w:r>
        <w:rPr>
          <w:rFonts w:ascii="Times New Roman"/>
          <w:b w:val="false"/>
          <w:i w:val="false"/>
          <w:color w:val="000000"/>
          <w:sz w:val="28"/>
        </w:rPr>
        <w:t>
      Для обеспечения сельскохозяйственных животных по Абайскому сельскому округу имеется 72125 гектара пастбищных угодий.</w:t>
      </w:r>
    </w:p>
    <w:p>
      <w:pPr>
        <w:spacing w:after="0"/>
        <w:ind w:left="0"/>
        <w:jc w:val="both"/>
      </w:pPr>
      <w:r>
        <w:rPr>
          <w:rFonts w:ascii="Times New Roman"/>
          <w:b w:val="false"/>
          <w:i w:val="false"/>
          <w:color w:val="000000"/>
          <w:sz w:val="28"/>
        </w:rPr>
        <w:t>
      Для выпаса сельскохозяйственных животных необходимо 15,602 тысяч гектаров 5081 голов выпасаются на общественных пастбищах, площадью 7,798 тысяч гектаров, 13170 голов выпасаются на отгонных пастбищах, площадью 64,327 тысяч гектаров.</w:t>
      </w:r>
    </w:p>
    <w:p>
      <w:pPr>
        <w:spacing w:after="0"/>
        <w:ind w:left="0"/>
        <w:jc w:val="both"/>
      </w:pPr>
      <w:r>
        <w:rPr>
          <w:rFonts w:ascii="Times New Roman"/>
          <w:b w:val="false"/>
          <w:i w:val="false"/>
          <w:color w:val="000000"/>
          <w:sz w:val="28"/>
        </w:rPr>
        <w:t>
      Таблица № 5. Требуемые дополнительные пастбища на территории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Требуемые дополнительные пастбища из земель запаса, тысяч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Дополнительно предоставляемые пастбища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которые могут быть предоставлены в землепользование пастбищепользователям, тысяч гектаров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подлежащие резервированию в целях удовлетворения нужд населения по выпасу сельскохозяйственных животных личного подворья, тысяч гектаров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Абайскому сельскому округу</w:t>
            </w:r>
            <w:r>
              <w:br/>
            </w:r>
            <w:r>
              <w:rPr>
                <w:rFonts w:ascii="Times New Roman"/>
                <w:b w:val="false"/>
                <w:i w:val="false"/>
                <w:color w:val="000000"/>
                <w:sz w:val="20"/>
              </w:rPr>
              <w:t>Курчумского района</w:t>
            </w:r>
            <w:r>
              <w:br/>
            </w:r>
            <w:r>
              <w:rPr>
                <w:rFonts w:ascii="Times New Roman"/>
                <w:b w:val="false"/>
                <w:i w:val="false"/>
                <w:color w:val="000000"/>
                <w:sz w:val="20"/>
              </w:rPr>
              <w:t>на 2026-2030 годы</w:t>
            </w:r>
          </w:p>
        </w:tc>
      </w:tr>
    </w:tbl>
    <w:bookmarkStart w:name="z14" w:id="7"/>
    <w:p>
      <w:pPr>
        <w:spacing w:after="0"/>
        <w:ind w:left="0"/>
        <w:jc w:val="left"/>
      </w:pPr>
      <w:r>
        <w:rPr>
          <w:rFonts w:ascii="Times New Roman"/>
          <w:b/>
          <w:i w:val="false"/>
          <w:color w:val="000000"/>
        </w:rPr>
        <w:t xml:space="preserve"> 1. РАСТИТЕЛЬНОСТЬ</w:t>
      </w:r>
    </w:p>
    <w:bookmarkEnd w:id="7"/>
    <w:p>
      <w:pPr>
        <w:spacing w:after="0"/>
        <w:ind w:left="0"/>
        <w:jc w:val="both"/>
      </w:pPr>
      <w:r>
        <w:rPr>
          <w:rFonts w:ascii="Times New Roman"/>
          <w:b w:val="false"/>
          <w:i w:val="false"/>
          <w:color w:val="000000"/>
          <w:sz w:val="28"/>
        </w:rPr>
        <w:t>
      По природным условиям и характеру растительности территория Абайского сельского округа относится к сухостепной и полупустынной зонам, подзоне лесолуговых, лесолугово-степных, темно-каштановых и светло-каштановых почв.</w:t>
      </w:r>
    </w:p>
    <w:p>
      <w:pPr>
        <w:spacing w:after="0"/>
        <w:ind w:left="0"/>
        <w:jc w:val="both"/>
      </w:pPr>
      <w:r>
        <w:rPr>
          <w:rFonts w:ascii="Times New Roman"/>
          <w:b w:val="false"/>
          <w:i w:val="false"/>
          <w:color w:val="000000"/>
          <w:sz w:val="28"/>
        </w:rPr>
        <w:t>
      Основные типы рельефа среднегорье, низкогорье, понижение низкогорье, предгорная равнина, понижение равнины.</w:t>
      </w:r>
    </w:p>
    <w:p>
      <w:pPr>
        <w:spacing w:after="0"/>
        <w:ind w:left="0"/>
        <w:jc w:val="both"/>
      </w:pPr>
      <w:r>
        <w:rPr>
          <w:rFonts w:ascii="Times New Roman"/>
          <w:b w:val="false"/>
          <w:i w:val="false"/>
          <w:color w:val="000000"/>
          <w:sz w:val="28"/>
        </w:rPr>
        <w:t>
      Флористический список по материалам полевого обследования составляет</w:t>
      </w:r>
    </w:p>
    <w:p>
      <w:pPr>
        <w:spacing w:after="0"/>
        <w:ind w:left="0"/>
        <w:jc w:val="both"/>
      </w:pPr>
      <w:r>
        <w:rPr>
          <w:rFonts w:ascii="Times New Roman"/>
          <w:b w:val="false"/>
          <w:i w:val="false"/>
          <w:color w:val="000000"/>
          <w:sz w:val="28"/>
        </w:rPr>
        <w:t>
      102 вида, относящихся к 74 родам и 26 семействам.</w:t>
      </w:r>
    </w:p>
    <w:p>
      <w:pPr>
        <w:spacing w:after="0"/>
        <w:ind w:left="0"/>
        <w:jc w:val="both"/>
      </w:pPr>
      <w:r>
        <w:rPr>
          <w:rFonts w:ascii="Times New Roman"/>
          <w:b w:val="false"/>
          <w:i w:val="false"/>
          <w:color w:val="000000"/>
          <w:sz w:val="28"/>
        </w:rPr>
        <w:t>
      По количеству видов в семействах преобладают: Злаковые - 18 видов, Сложноцветные - 17 видов, Розоцветные и Бобовые - по 10 видов, Губоцветные - 6 видов, Лилейные, Гречишные, Мареновые - по 4 вида, Ивовые - 3 вида, Осоковые, Касатиковые, Лютиковые, Гераниевые, Парнолистниковые, Молочайные, Норичниковые, Подорожниковые - по 2 вида, остальные семейства содержат по 1 виду.</w:t>
      </w:r>
    </w:p>
    <w:p>
      <w:pPr>
        <w:spacing w:after="0"/>
        <w:ind w:left="0"/>
        <w:jc w:val="both"/>
      </w:pPr>
      <w:r>
        <w:rPr>
          <w:rFonts w:ascii="Times New Roman"/>
          <w:b w:val="false"/>
          <w:i w:val="false"/>
          <w:color w:val="000000"/>
          <w:sz w:val="28"/>
        </w:rPr>
        <w:t>
      Доминантами в растительном покрове являются 16 видов.</w:t>
      </w:r>
    </w:p>
    <w:p>
      <w:pPr>
        <w:spacing w:after="0"/>
        <w:ind w:left="0"/>
        <w:jc w:val="both"/>
      </w:pPr>
      <w:r>
        <w:rPr>
          <w:rFonts w:ascii="Times New Roman"/>
          <w:b w:val="false"/>
          <w:i w:val="false"/>
          <w:color w:val="000000"/>
          <w:sz w:val="28"/>
        </w:rPr>
        <w:t>
      Подавляющее количество видов (97 видов - 95,1%) поедается скотом, ядовитыми считаются 5 вида, 2 видов - лекарственные.</w:t>
      </w:r>
    </w:p>
    <w:p>
      <w:pPr>
        <w:spacing w:after="0"/>
        <w:ind w:left="0"/>
        <w:jc w:val="both"/>
      </w:pPr>
      <w:r>
        <w:rPr>
          <w:rFonts w:ascii="Times New Roman"/>
          <w:b w:val="false"/>
          <w:i w:val="false"/>
          <w:color w:val="000000"/>
          <w:sz w:val="28"/>
        </w:rPr>
        <w:t>
      Здесь широко распространены виды растений пустынных и каменистых степей, таких как лебеда седая, биюргун, полынь узкодольчатая, полынь белоземельная, тасбиюргун, ковыли - волосатик, красноватый, Лессинга, овсяница бороздчатая. Менее распространены луговые злаки и разнотравье.</w:t>
      </w:r>
    </w:p>
    <w:p>
      <w:pPr>
        <w:spacing w:after="0"/>
        <w:ind w:left="0"/>
        <w:jc w:val="both"/>
      </w:pPr>
      <w:r>
        <w:rPr>
          <w:rFonts w:ascii="Times New Roman"/>
          <w:b w:val="false"/>
          <w:i w:val="false"/>
          <w:color w:val="000000"/>
          <w:sz w:val="28"/>
        </w:rPr>
        <w:t>
      Распространение растительности имеет ярко выраженную зональность. На самом крайнем юге на темно-каштановых обычных и неполноразвитых почвах распространены в основном дерновиннозлаковые и полынные пастбища. В средней части территории округа на темно-каштановых обычных почвах по низкогорьем распространены злаки, кустарники, разнотравье реже сорнотравье. В северной гористой части на темно-каштановых неполноразвитых и лугово-темно-каштановых обычных почвах аспространены кустарники, полыни, злаки, разнотравье на выположенных и склоновых участках. По ложбинам встречаются кустарники. В северо-западной части территории отмечается степная растительность с кустарниками, преимущественно с таволгой и частично с караганой.</w:t>
      </w:r>
    </w:p>
    <w:p>
      <w:pPr>
        <w:spacing w:after="0"/>
        <w:ind w:left="0"/>
        <w:jc w:val="both"/>
      </w:pPr>
      <w:r>
        <w:rPr>
          <w:rFonts w:ascii="Times New Roman"/>
          <w:b w:val="false"/>
          <w:i w:val="false"/>
          <w:color w:val="000000"/>
          <w:sz w:val="28"/>
        </w:rPr>
        <w:t>
      Вся территория округа представлена в основном пастбищами. Сенокосные</w:t>
      </w:r>
    </w:p>
    <w:p>
      <w:pPr>
        <w:spacing w:after="0"/>
        <w:ind w:left="0"/>
        <w:jc w:val="both"/>
      </w:pPr>
      <w:r>
        <w:rPr>
          <w:rFonts w:ascii="Times New Roman"/>
          <w:b w:val="false"/>
          <w:i w:val="false"/>
          <w:color w:val="000000"/>
          <w:sz w:val="28"/>
        </w:rPr>
        <w:t>
      угодья занимают небольшую часть.</w:t>
      </w:r>
    </w:p>
    <w:p>
      <w:pPr>
        <w:spacing w:after="0"/>
        <w:ind w:left="0"/>
        <w:jc w:val="both"/>
      </w:pPr>
      <w:r>
        <w:rPr>
          <w:rFonts w:ascii="Times New Roman"/>
          <w:b w:val="false"/>
          <w:i w:val="false"/>
          <w:color w:val="000000"/>
          <w:sz w:val="28"/>
        </w:rPr>
        <w:t>
      По долине реки Курчум в виде небольших рощ растут осина, тополь, ива,</w:t>
      </w:r>
    </w:p>
    <w:p>
      <w:pPr>
        <w:spacing w:after="0"/>
        <w:ind w:left="0"/>
        <w:jc w:val="both"/>
      </w:pPr>
      <w:r>
        <w:rPr>
          <w:rFonts w:ascii="Times New Roman"/>
          <w:b w:val="false"/>
          <w:i w:val="false"/>
          <w:color w:val="000000"/>
          <w:sz w:val="28"/>
        </w:rPr>
        <w:t>
      береза и другие.</w:t>
      </w:r>
    </w:p>
    <w:p>
      <w:pPr>
        <w:spacing w:after="0"/>
        <w:ind w:left="0"/>
        <w:jc w:val="both"/>
      </w:pPr>
      <w:r>
        <w:rPr>
          <w:rFonts w:ascii="Times New Roman"/>
          <w:b w:val="false"/>
          <w:i w:val="false"/>
          <w:color w:val="000000"/>
          <w:sz w:val="28"/>
        </w:rPr>
        <w:t>
      По долинам рек и ручьев, приозерным понижениям, в депрессиях рельефа, с близкими грунтовыми водами в зависимости от минерализации этих, распространены злаковые, чиевые и волоснецовые пастбища, сенокосы, а также и другие пастбища. Формируются они на лугово-темно-каштановых суглинистых почвах. Из злаков преобладают: ежа, тонконог, вейник, мятлик, пырей, тростник. На очень влажных участках растут осоки и тростник.</w:t>
      </w:r>
    </w:p>
    <w:p>
      <w:pPr>
        <w:spacing w:after="0"/>
        <w:ind w:left="0"/>
        <w:jc w:val="both"/>
      </w:pPr>
      <w:r>
        <w:rPr>
          <w:rFonts w:ascii="Times New Roman"/>
          <w:b w:val="false"/>
          <w:i w:val="false"/>
          <w:color w:val="000000"/>
          <w:sz w:val="28"/>
        </w:rPr>
        <w:t>
      Абайский сельский округ организован на базе разукрупнения бывших совхозов Маралихинского, Калгутинского и имени 22 съезда КПСС. В связи внесением изменении в границах, невозможно было сделать сравнительный анализ по культуре по техническому состоянию.</w:t>
      </w:r>
    </w:p>
    <w:p>
      <w:pPr>
        <w:spacing w:after="0"/>
        <w:ind w:left="0"/>
        <w:jc w:val="both"/>
      </w:pPr>
      <w:r>
        <w:rPr>
          <w:rFonts w:ascii="Times New Roman"/>
          <w:b w:val="false"/>
          <w:i w:val="false"/>
          <w:color w:val="000000"/>
          <w:sz w:val="28"/>
        </w:rPr>
        <w:t>
      Согласно Классификации природных кормовых угодий Республики Казахстан, природные кормовые угодья в границах изысканий представлены - 2 классами: среднегорными степными пастбищами на лесо - лугово - степных суглинистых и лесо-лугово суглинистых почвах; низкогорными степными пастбищами на темно-каштановых обычных суглинистых и супесчаных, темно-каштановых неполноразвитых суглинистых и светло-каштановых неполно - и малоразвитых суглинистых почвах; понижение низкогорий, долина рек Курчум, Кыстау-Курчум на лугово-темно-каштановых обычных суглинистых почвах, лугово-темно-каштановых солончаковых и солончаковатых суглинистых почвах, лугово-темно-каштановых солонцеватых суглинистых почвах, лугово-темно-каштановых засоленных почвах и лугово-светло-каштановых обычных светло-каштановых обычных суглинистых почвах; предгорная волнистая равнина на светло-каштановых обычных суглинистых почвах, светло-каштановых неполно- и малоразвитых суглинистых почвах, и светло-каштановых солончаковатых суглинистых почвах; долина реки Курчум, понижения предгорной равнины на лугово-светло-каштановых солончаковых суглинистых почвах и пойменных темно-каштановых луговых обычных суглинистых почвах.</w:t>
      </w:r>
    </w:p>
    <w:p>
      <w:pPr>
        <w:spacing w:after="0"/>
        <w:ind w:left="0"/>
        <w:jc w:val="both"/>
      </w:pPr>
      <w:r>
        <w:rPr>
          <w:rFonts w:ascii="Times New Roman"/>
          <w:b w:val="false"/>
          <w:i w:val="false"/>
          <w:color w:val="000000"/>
          <w:sz w:val="28"/>
        </w:rPr>
        <w:t>
      Каждый из указанных классов разделяется на подклассы, объединяющие кормовые угодья, сходные по положению в рельефе, степени увлажненности, типу почв, их механическому составу.</w:t>
      </w:r>
    </w:p>
    <w:p>
      <w:pPr>
        <w:spacing w:after="0"/>
        <w:ind w:left="0"/>
        <w:jc w:val="both"/>
      </w:pPr>
      <w:r>
        <w:rPr>
          <w:rFonts w:ascii="Times New Roman"/>
          <w:b w:val="false"/>
          <w:i w:val="false"/>
          <w:color w:val="000000"/>
          <w:sz w:val="28"/>
        </w:rPr>
        <w:t>
      В процессе обследования выделены 54 типа растительных сообществ, 22 подтипа и 33 модификации. Типы систематизированы в 24 группу.</w:t>
      </w:r>
    </w:p>
    <w:bookmarkStart w:name="z15" w:id="8"/>
    <w:p>
      <w:pPr>
        <w:spacing w:after="0"/>
        <w:ind w:left="0"/>
        <w:jc w:val="left"/>
      </w:pPr>
      <w:r>
        <w:rPr>
          <w:rFonts w:ascii="Times New Roman"/>
          <w:b/>
          <w:i w:val="false"/>
          <w:color w:val="000000"/>
        </w:rPr>
        <w:t xml:space="preserve"> 2. КРАТКАЯ ХАРАКТЕРИСТИКА ОСНОВНЫХ КОРМОВЫХ, НЕПОЕДАЕМЫХ, ЯДОВИТЫХ И ЛЕКАРСТВЕННЫХ РАСТЕНИЙ</w:t>
      </w:r>
    </w:p>
    <w:bookmarkEnd w:id="8"/>
    <w:bookmarkStart w:name="z16" w:id="9"/>
    <w:p>
      <w:pPr>
        <w:spacing w:after="0"/>
        <w:ind w:left="0"/>
        <w:jc w:val="left"/>
      </w:pPr>
      <w:r>
        <w:rPr>
          <w:rFonts w:ascii="Times New Roman"/>
          <w:b/>
          <w:i w:val="false"/>
          <w:color w:val="000000"/>
        </w:rPr>
        <w:t xml:space="preserve"> 2.1. Кормовые растения</w:t>
      </w:r>
    </w:p>
    <w:bookmarkEnd w:id="9"/>
    <w:p>
      <w:pPr>
        <w:spacing w:after="0"/>
        <w:ind w:left="0"/>
        <w:jc w:val="both"/>
      </w:pPr>
      <w:r>
        <w:rPr>
          <w:rFonts w:ascii="Times New Roman"/>
          <w:b w:val="false"/>
          <w:i w:val="false"/>
          <w:color w:val="000000"/>
          <w:sz w:val="28"/>
        </w:rPr>
        <w:t>
      Ковыль волосатик (тырса) - многолетний плотнокустовой дернинный злак высотой 50-80 см. Весной начинает отрастать позже многих ксерофильных злаков, поэтому и засыхание у него происходит значительно позже. Дает урожаи выше других ковылей, а при скашивании до колошения дает отаву до 50% массы первого укоса, причем отава состоит в основном из листьев. Весной листья отлично поедают лошади и быстро набирают вес. С конца цветения почти не поедается. Крупный рогатый скот поедает несколько хуже лошадей, овцы и козы поедают его удовлетворительно только в молодом возрасте. Осенняя отава очень нежная и хорошо поедается всеми животными.</w:t>
      </w:r>
    </w:p>
    <w:p>
      <w:pPr>
        <w:spacing w:after="0"/>
        <w:ind w:left="0"/>
        <w:jc w:val="both"/>
      </w:pPr>
      <w:r>
        <w:rPr>
          <w:rFonts w:ascii="Times New Roman"/>
          <w:b w:val="false"/>
          <w:i w:val="false"/>
          <w:color w:val="000000"/>
          <w:sz w:val="28"/>
        </w:rPr>
        <w:t>
      Овсяница бороздчатая (типчак) - многолетний плотнокустовой злак высотой 30-60 см, образующий мощные плотные дернины с многочисленными прикорневыми листьями. Цветет в конце мая-июне, после цветения начинает засыхать и при полном созревании становится желтой и грубой травой. Все жаркое лето находится в состоянии покоя и не отрастает. С понижением температуры и выпадением первых дождей появляется масса прикорневых листьев, которые отрастают почти до той же высоты, что и весной.</w:t>
      </w:r>
    </w:p>
    <w:p>
      <w:pPr>
        <w:spacing w:after="0"/>
        <w:ind w:left="0"/>
        <w:jc w:val="both"/>
      </w:pPr>
      <w:r>
        <w:rPr>
          <w:rFonts w:ascii="Times New Roman"/>
          <w:b w:val="false"/>
          <w:i w:val="false"/>
          <w:color w:val="000000"/>
          <w:sz w:val="28"/>
        </w:rPr>
        <w:t>
      На пастбище поедается прекрасно всеми видами животных, особенно лошадьми, только верблюды поедают его удовлетворительно. С начала цветения и особенно в фазу созревания поедается хуже, а летом поедаются только прикорневые листья.</w:t>
      </w:r>
    </w:p>
    <w:p>
      <w:pPr>
        <w:spacing w:after="0"/>
        <w:ind w:left="0"/>
        <w:jc w:val="both"/>
      </w:pPr>
      <w:r>
        <w:rPr>
          <w:rFonts w:ascii="Times New Roman"/>
          <w:b w:val="false"/>
          <w:i w:val="false"/>
          <w:color w:val="000000"/>
          <w:sz w:val="28"/>
        </w:rPr>
        <w:t>
      Вейник наземный (ак-батаук) - многолетний злак с ползучим корневищем, высотой 80-150 см, со средне облиственным стеблем. Цветет в июне-июле. Грубая кормовая трава заливных и болотистых лугов. Нетребователен к почве, выносит значительное засоление. Обладает хорошей устойчивостью к выпасу и сенокошению, но дает грубое, плохо поедаемое сено. Скашивать на сено следует не позже фазы колошения, так как он очень быстро грубеет. На пастбище плохо поедается всеми видами диких и домашних животных: крупный рогатый скот и лошади поедают только до колошения, во второй половине лета скусывают только соцветия и верхние листья.</w:t>
      </w:r>
    </w:p>
    <w:p>
      <w:pPr>
        <w:spacing w:after="0"/>
        <w:ind w:left="0"/>
        <w:jc w:val="both"/>
      </w:pPr>
      <w:r>
        <w:rPr>
          <w:rFonts w:ascii="Times New Roman"/>
          <w:b w:val="false"/>
          <w:i w:val="false"/>
          <w:color w:val="000000"/>
          <w:sz w:val="28"/>
        </w:rPr>
        <w:t>
      Волоснец узкий - многолетний злак с голыми, гладкими стеблями высотой 50-120 см. Влагалища листьев гладкие, язычок до 8 мм длиной. Листья до 7 мм ширины, иногда сложенные. Метелка длиной 10-30 см. Цветет в июне-сентябре. Грубый корм. На пастбище более или менее удовлетворительно поедается животными на ранних фазах, преимущественно лошадьми и крупным рогатым скотом. Очень быстро грубеет, поэтому на сено необходимо заготавливать до выбрасывания метелок.</w:t>
      </w:r>
    </w:p>
    <w:p>
      <w:pPr>
        <w:spacing w:after="0"/>
        <w:ind w:left="0"/>
        <w:jc w:val="both"/>
      </w:pPr>
      <w:r>
        <w:rPr>
          <w:rFonts w:ascii="Times New Roman"/>
          <w:b w:val="false"/>
          <w:i w:val="false"/>
          <w:color w:val="000000"/>
          <w:sz w:val="28"/>
        </w:rPr>
        <w:t>
      Прибрежница солончаковая (ажрек) - многолетний злак высотой 5-15 см с длинными, от основания разветвляющимися и укореняющимися в узлах побегами. Цветет в апреле-июне. Цветки собраны в колосовидную метелку. Переносит сильное засоление почв и нередко дает чистые заросли. Урожайность резко колеблется в зависимости от мест обитания. Одно из основных растений пустынь. На пастбище поедается всеми животными, причем лучше - с фазы плодоношения, осенью и зимой. В сене - удовлетворительно и даже хорошо, но на сене необходимо убирать не позже фазы колошения, так как перестойное сено может повреждать ротовую полость животных. На юге охотно поедается животными по возврашении с гор.</w:t>
      </w:r>
    </w:p>
    <w:p>
      <w:pPr>
        <w:spacing w:after="0"/>
        <w:ind w:left="0"/>
        <w:jc w:val="both"/>
      </w:pPr>
      <w:r>
        <w:rPr>
          <w:rFonts w:ascii="Times New Roman"/>
          <w:b w:val="false"/>
          <w:i w:val="false"/>
          <w:color w:val="000000"/>
          <w:sz w:val="28"/>
        </w:rPr>
        <w:t>
      Мятлик луговой - многолетний рыхлокустовой злак высотой 30-90 см с ползучим корневищем. Цветет в мае-июле. Имеет тонкие, слабо олиственные стебли, кроме генеративных имеет большое количество вегетативных побегов, из-за чего его относят к типичным низовым злакам. Пастбищное растение, широко и быстро распространяется в травостое при умеренном выпасе. Считается отличным кормовым растением: отлично поедается лошадьми, крупным рогатым скотом, овцами и дикими животными. Особенно ценны эти пастбища для нагула молодняка крупного рогатого скота.</w:t>
      </w:r>
    </w:p>
    <w:p>
      <w:pPr>
        <w:spacing w:after="0"/>
        <w:ind w:left="0"/>
        <w:jc w:val="both"/>
      </w:pPr>
      <w:r>
        <w:rPr>
          <w:rFonts w:ascii="Times New Roman"/>
          <w:b w:val="false"/>
          <w:i w:val="false"/>
          <w:color w:val="000000"/>
          <w:sz w:val="28"/>
        </w:rPr>
        <w:t>
      Карагана кустарник (караган) - слабо колючий, ветвистый кустарник высотой 0,5-2 м с прямыми побегами и ветвями с темной, зеленовато - или желтовато-серой корой. Цветы ярко-желтые. Цветет в мае-июле, плодоносит июле-сентябре. На пастбище поедаются листья и молодые побеги крупным рогатым скотом и овцами. Хорошо облиственна, а ветки в густых зарослях, особенно где растительность ежегодно выкашивается, тонкие, прутьевидные. На таких пастбищах иногда даже хорошо поедается почти до самой осени. В листьях и цветах содержит много протеина.</w:t>
      </w:r>
    </w:p>
    <w:p>
      <w:pPr>
        <w:spacing w:after="0"/>
        <w:ind w:left="0"/>
        <w:jc w:val="both"/>
      </w:pPr>
      <w:r>
        <w:rPr>
          <w:rFonts w:ascii="Times New Roman"/>
          <w:b w:val="false"/>
          <w:i w:val="false"/>
          <w:color w:val="000000"/>
          <w:sz w:val="28"/>
        </w:rPr>
        <w:t>
      Лебеда седая (кокпек) - полукустарник с раскинутыми, недлинными деревянистыми ветвями высотой 20-50 см. Однолетние побеги высотой 15-30 см. Листья очередные, толстоватые, длиной 0,5-3 см, шириной 0,2-0,7 см, продолговато-яйцевидные, на верхушке тупые. В пазухах листьев укороченные побеги с более мелкими листьями. Цветки собраны в мутовчато-колосовидное соцветие. Цветет и плодоносит в июле - сентябре. На пастбище с фазы цветения, осенью после плодоношения и зимой хорошо поедается верблюдами, удовлетворительно коровами и лошадьми. Для овец и верблюдов осенью и зимой-нажировочный корм. Ранней весной лошади охотно поедают прошлогодние веточки. По данным химического анализа, содержит относительно много протеина и немного клетчатки, но коэффициент переваримости всех питательных веществ на ранних фазах очень низкий, соответственно низка и питательность в этот период (ниже 40 к. ед.). С фазы плодоношения значительно повышается переваримость клетчатки и БЭВ, поэтому общая питательность осенью выше, чем летом и весной. Листья содержат органические кислоты. Возбуждает аппетит у животных.</w:t>
      </w:r>
    </w:p>
    <w:p>
      <w:pPr>
        <w:spacing w:after="0"/>
        <w:ind w:left="0"/>
        <w:jc w:val="both"/>
      </w:pPr>
      <w:r>
        <w:rPr>
          <w:rFonts w:ascii="Times New Roman"/>
          <w:b w:val="false"/>
          <w:i w:val="false"/>
          <w:color w:val="000000"/>
          <w:sz w:val="28"/>
        </w:rPr>
        <w:t>
      Таволга зверобоелистная - кустарник высотой до 150 см смногочисленными зонтиками цветков на коричневых прутьевидных ветвях. Листья мелкие, молодые опушенные, обратно-яйцевидные. Соцветия - 4-10-цветковые сидячие зонтики. Цветет в апреле-мае, плодоносит в июне. На пастбище листья и молодые побеги охотно поедаются овцами и козами. Остальные животные поедают хуже. На ранних стадиях содержится много протеина, жира и не очень много клетчатки, а питательность не хуже хорошего бобового сена. Содержит витамин С, ароматические вещества.</w:t>
      </w:r>
    </w:p>
    <w:p>
      <w:pPr>
        <w:spacing w:after="0"/>
        <w:ind w:left="0"/>
        <w:jc w:val="both"/>
      </w:pPr>
      <w:r>
        <w:rPr>
          <w:rFonts w:ascii="Times New Roman"/>
          <w:b w:val="false"/>
          <w:i w:val="false"/>
          <w:color w:val="000000"/>
          <w:sz w:val="28"/>
        </w:rPr>
        <w:t>
      Полынь белоземельная (тамыр жусан) - многолетнее травянистое растение высотой до 45 см с многочисленными вегетативными и генеративными побегами, образующими плотные и широкие дерновины. Все растение опушенное. Листья в очертании яйцевидные, 1-2 см длиной и до 1 см шириной, просто или дважды перисто рассеченные. Цветы желтые. Цветет в августе - октябре. На пастбище поедается овцами хорошо и даже отлично весной, удовлетворительно плохо летом, вновь хорошо и отлично поедается осенью и зимой. Немного хуже ее поедают лошади и верблюды. Крупный рогатый скот удовлетворительно поедает ее весной, осенью и зимой и почти не поедает летом. Многочисленными данными химического анализа (около 90 образцов из различных областей Казахстана) не подтверждаются литературные данные о высоком содержании клетчатки (до 45%) - Даже в зимнем сухостое собранных нами образцов количество клетчатки не превышало 35%. Можно отнести к кормовым растениям выше среднего качества.</w:t>
      </w:r>
    </w:p>
    <w:p>
      <w:pPr>
        <w:spacing w:after="0"/>
        <w:ind w:left="0"/>
        <w:jc w:val="both"/>
      </w:pPr>
      <w:r>
        <w:rPr>
          <w:rFonts w:ascii="Times New Roman"/>
          <w:b w:val="false"/>
          <w:i w:val="false"/>
          <w:color w:val="000000"/>
          <w:sz w:val="28"/>
        </w:rPr>
        <w:t>
      Полынь лессинговидная (узкодольчатая) - многолетнее растение с деревянистым, многоглавым корнем и многочисленными вегетативными (укороченными) и генеративными, ветвящимися вверху стеблями (высотой до 45 см), образующими высокую, плотную дерновину. Цветет в сентябре - октябре. Слабо изучена в кормовом отношении. По литературным источникам, овцами и лошадьми вполне удовлетворительно поедается осенью и зимой. По наблюдениям геоботаников, на пастбище удовлетворительно поедается всеми животными весной, летом и осенью. На ранних фазах содержит много протеина и мало клетчатки.</w:t>
      </w:r>
    </w:p>
    <w:p>
      <w:pPr>
        <w:spacing w:after="0"/>
        <w:ind w:left="0"/>
        <w:jc w:val="both"/>
      </w:pPr>
      <w:r>
        <w:rPr>
          <w:rFonts w:ascii="Times New Roman"/>
          <w:b w:val="false"/>
          <w:i w:val="false"/>
          <w:color w:val="000000"/>
          <w:sz w:val="28"/>
        </w:rPr>
        <w:t>
      Чий блестящий (ший) - многолетний крупно дернинный злак, достигающий высоты 250 см, с крепкими стеблями. Цветет в мае - июле. Растение грубое с сильно шероховатыми листьями. Встречается на различных почвах, но почти всегда в местах с близким залеганием грунтовых вод, образуя иногда сплошные заросли. Но скоплению чия ориентируются в выборе места для копки колодца. На пастбище поедается охотно только до колошения, позже он очень грубеет. Отава чия и летом поедается охотно. В сене хорошо поедается, если скошен до колошения, а при более позднем скашиваний - поедаются только листья. Особое значение имеет на зимних пастбищах, так как высокие кусты чия не заносятся снегом. Относится к кормовым растениям среднего качества.</w:t>
      </w:r>
    </w:p>
    <w:p>
      <w:pPr>
        <w:spacing w:after="0"/>
        <w:ind w:left="0"/>
        <w:jc w:val="both"/>
      </w:pPr>
      <w:r>
        <w:rPr>
          <w:rFonts w:ascii="Times New Roman"/>
          <w:b w:val="false"/>
          <w:i w:val="false"/>
          <w:color w:val="000000"/>
          <w:sz w:val="28"/>
        </w:rPr>
        <w:t>
      Тростник обыкновенный - корневищный злак, высотой 2,5 до 9 м. Цветет в мае - июне. В молодом возрасте тростник содержит много сахара, и в это время лошади, крупный рогатый скот поедает его весьма охотно. Хуже поедают его овцы, козы и верблюды. Однако ещҰ до выбрасывания метелки он становится настолько грубым, что скот на пастбищах поедает его неохотно. Причина - сильное огрубение и резкое увеличение в тростнике непереваримых вещество.</w:t>
      </w:r>
    </w:p>
    <w:bookmarkStart w:name="z17" w:id="10"/>
    <w:p>
      <w:pPr>
        <w:spacing w:after="0"/>
        <w:ind w:left="0"/>
        <w:jc w:val="left"/>
      </w:pPr>
      <w:r>
        <w:rPr>
          <w:rFonts w:ascii="Times New Roman"/>
          <w:b/>
          <w:i w:val="false"/>
          <w:color w:val="000000"/>
        </w:rPr>
        <w:t xml:space="preserve"> 2.2. Непоедаемые растения</w:t>
      </w:r>
    </w:p>
    <w:bookmarkEnd w:id="10"/>
    <w:p>
      <w:pPr>
        <w:spacing w:after="0"/>
        <w:ind w:left="0"/>
        <w:jc w:val="both"/>
      </w:pPr>
      <w:r>
        <w:rPr>
          <w:rFonts w:ascii="Times New Roman"/>
          <w:b w:val="false"/>
          <w:i w:val="false"/>
          <w:color w:val="000000"/>
          <w:sz w:val="28"/>
        </w:rPr>
        <w:t>
      Чингил серебристый - сильно колючий кустарник высотой 50-200 см с буровато-коричневой корой. Листья парноперистые, заканчивающиеся колючкой, с 1-5 парами листочков, продолгавато-обратнояйцевидные. Цветки розовые, редко белые. Цветет в мае-июне. Животными поедается плохо. Осенью и зимой верблюды и овцы поедают плоды и опавшие листья.</w:t>
      </w:r>
    </w:p>
    <w:p>
      <w:pPr>
        <w:spacing w:after="0"/>
        <w:ind w:left="0"/>
        <w:jc w:val="both"/>
      </w:pPr>
      <w:r>
        <w:rPr>
          <w:rFonts w:ascii="Times New Roman"/>
          <w:b w:val="false"/>
          <w:i w:val="false"/>
          <w:color w:val="000000"/>
          <w:sz w:val="28"/>
        </w:rPr>
        <w:t>
      Бузульник сибирский - многолетнее травянистое корневищное растение высотой 40-75 см с прямым, бороздчатым стеблем. Корневище укороченное, с многочисленными корневыми мочками. Листья продолговато - треугольные или продолговато - яйцевидные, 5-35 см длиной и 2,5-25 см шириной, по краю неравно -зубчатые. Краевые цветки ярко-желтые. Цветет в июне - августе, плодоносит в августе - сентябре. По литературным источникам, животными не поедается, злостный сорняк на пастбище и подлежит уничтожению. По наблюдениям геоботаников, летом частично поедается овцами и лошадьми. Содержит среднее количество протеина и клетчатки.</w:t>
      </w:r>
    </w:p>
    <w:p>
      <w:pPr>
        <w:spacing w:after="0"/>
        <w:ind w:left="0"/>
        <w:jc w:val="both"/>
      </w:pPr>
      <w:r>
        <w:rPr>
          <w:rFonts w:ascii="Times New Roman"/>
          <w:b w:val="false"/>
          <w:i w:val="false"/>
          <w:color w:val="000000"/>
          <w:sz w:val="28"/>
        </w:rPr>
        <w:t>
      Молочай джунгарский (суттуген) - многолетнее травянистое растение с многоглавым корнем и прямостоящими, внизу ветвистыми, прутьевидными стеблями высотой 35-110 см, вверху хорошо олиственными. Цветет в июле, плодоносит в июле-августе. По литературным данным, животными не поедается. При поедании вызывает воспаление полости рта, а у дойных коров молоко приобретает красный цвет. По наблюдениям геоботаников немного поедается овцами и верблюдами.</w:t>
      </w:r>
    </w:p>
    <w:bookmarkStart w:name="z18" w:id="11"/>
    <w:p>
      <w:pPr>
        <w:spacing w:after="0"/>
        <w:ind w:left="0"/>
        <w:jc w:val="left"/>
      </w:pPr>
      <w:r>
        <w:rPr>
          <w:rFonts w:ascii="Times New Roman"/>
          <w:b/>
          <w:i w:val="false"/>
          <w:color w:val="000000"/>
        </w:rPr>
        <w:t xml:space="preserve"> 2.3. Ядовитые растения</w:t>
      </w:r>
    </w:p>
    <w:bookmarkEnd w:id="11"/>
    <w:p>
      <w:pPr>
        <w:spacing w:after="0"/>
        <w:ind w:left="0"/>
        <w:jc w:val="both"/>
      </w:pPr>
      <w:r>
        <w:rPr>
          <w:rFonts w:ascii="Times New Roman"/>
          <w:b w:val="false"/>
          <w:i w:val="false"/>
          <w:color w:val="000000"/>
          <w:sz w:val="28"/>
        </w:rPr>
        <w:t>
      Брунец лисохвостный - стебель ветвистый, высотой до 80-100 см Цветки белые с желтоватым оттенком. Цветет в мае-июне, плоды созревают в июле -августе. Содержит алколоиды софоридин, софокарпин, алоперин. Известны случаи отравления овец. Доказано, что алколоиды брунца действуют на нервную систему.</w:t>
      </w:r>
    </w:p>
    <w:p>
      <w:pPr>
        <w:spacing w:after="0"/>
        <w:ind w:left="0"/>
        <w:jc w:val="both"/>
      </w:pPr>
      <w:r>
        <w:rPr>
          <w:rFonts w:ascii="Times New Roman"/>
          <w:b w:val="false"/>
          <w:i w:val="false"/>
          <w:color w:val="000000"/>
          <w:sz w:val="28"/>
        </w:rPr>
        <w:t>
      Горчак ползучий - многолетнее травянистое растение высотой 15-60 см. Цветет в мае-июне, плодоносит в июле-августе. В сене поедается удовлетворительно всеми животными. Содержит алкалоиды, поэтому считается ядовитым. Наиболее чувствительны к горчаку лошади. Наибольшее количество алкалоидов у горчака наблюдается на засоленных почвах. Установлено, что отравление вызывает не горчак, а грибок, поражающий его. Чаще отравления бывают при плохом травостое и сильном разрастании горчака.</w:t>
      </w:r>
    </w:p>
    <w:bookmarkStart w:name="z19" w:id="12"/>
    <w:p>
      <w:pPr>
        <w:spacing w:after="0"/>
        <w:ind w:left="0"/>
        <w:jc w:val="left"/>
      </w:pPr>
      <w:r>
        <w:rPr>
          <w:rFonts w:ascii="Times New Roman"/>
          <w:b/>
          <w:i w:val="false"/>
          <w:color w:val="000000"/>
        </w:rPr>
        <w:t xml:space="preserve"> 2.4. Лекарственные растения</w:t>
      </w:r>
    </w:p>
    <w:bookmarkEnd w:id="12"/>
    <w:p>
      <w:pPr>
        <w:spacing w:after="0"/>
        <w:ind w:left="0"/>
        <w:jc w:val="both"/>
      </w:pPr>
      <w:r>
        <w:rPr>
          <w:rFonts w:ascii="Times New Roman"/>
          <w:b w:val="false"/>
          <w:i w:val="false"/>
          <w:color w:val="000000"/>
          <w:sz w:val="28"/>
        </w:rPr>
        <w:t>
      Брунец лисохвостный (софора) - многолетнее корнеотпрысковое растение 20-60 см высотой. Стебель ветвистый, с вверх направленными ветвями, листья овально-продолговатыми листочками, цветки кремовые или белые, несколко желтоватые, собраны в узкие, колосковидные верхучешные кисты; бобы булавовидные, темно-коричневые или черноватые. В траве найдено около 3% ядовитых алкалоидов. Дуст (тонкий порошок), изготовленный из сухого растения, обладает сильными инсектициднымисвойствами, но токсичность его слабее анабазина. Препараты из брунца возбуждают дыхание.</w:t>
      </w:r>
    </w:p>
    <w:p>
      <w:pPr>
        <w:spacing w:after="0"/>
        <w:ind w:left="0"/>
        <w:jc w:val="both"/>
      </w:pPr>
      <w:r>
        <w:rPr>
          <w:rFonts w:ascii="Times New Roman"/>
          <w:b w:val="false"/>
          <w:i w:val="false"/>
          <w:color w:val="000000"/>
          <w:sz w:val="28"/>
        </w:rPr>
        <w:t>
      Кровохлебка аптечная - многолетнее травянистое корневищное растение с гранистым, вверху ветвистым стеблем высотой 20-100 см. Цветет в июне-августе, плодоносит в августе-сентябре. Корни содержат до 16-17% дубильных веществ, эфирное масло, щавелевокислый кальций, крахмал, красящие вещества. В народной медицине использовалась при кровотечениях, поносах, в ветеринарии - при заболеваниях кишечника и как потогонное и глистогонное. Используется в медицине и в настоящее время, в народной медицине - при злокачественных опухолях, кожных болезнях, в гомеопатии - как гемостатическое при болезнях легких, гинекологии, при диарее, как ранозаживляющее, антигельминтное, при желудочно-кишечных заболеваниях.</w:t>
      </w:r>
    </w:p>
    <w:p>
      <w:pPr>
        <w:spacing w:after="0"/>
        <w:ind w:left="0"/>
        <w:jc w:val="both"/>
      </w:pPr>
      <w:r>
        <w:rPr>
          <w:rFonts w:ascii="Times New Roman"/>
          <w:b w:val="false"/>
          <w:i w:val="false"/>
          <w:color w:val="000000"/>
          <w:sz w:val="28"/>
        </w:rPr>
        <w:t>
      Подмаренник настоящий - многолетнее растение с ветвистым корневищем и прямыми ветвистыми стеблями 15-80 см высотой. Цветки в длинном густом метельчатом соцветии, ярко желтые, с медовым запахом. Цветет с июня по сентябрь. Листья, цветки и выжатый из листьев сок имеют различное применение в народной лечебной практике.</w:t>
      </w:r>
    </w:p>
    <w:p>
      <w:pPr>
        <w:spacing w:after="0"/>
        <w:ind w:left="0"/>
        <w:jc w:val="both"/>
      </w:pPr>
      <w:r>
        <w:rPr>
          <w:rFonts w:ascii="Times New Roman"/>
          <w:b w:val="false"/>
          <w:i w:val="false"/>
          <w:color w:val="000000"/>
          <w:sz w:val="28"/>
        </w:rPr>
        <w:t>
      Тысячелистник обыкновенный - многолетнее травянистое растение высотой 20-120 см, корневище тонкое, ползучее, разветвленное. Листья ланцетовидные, двояк оперисторассченные. Цветки белые, желтые, розовые, красные, собраны в корзинки, образующие сложные щитки 2-15 см в диаметре. Цвете с июля по сентябрь. Трава тысячелистника обладает крово остановливающими и противовоспалительными свойствами.</w:t>
      </w:r>
    </w:p>
    <w:p>
      <w:pPr>
        <w:spacing w:after="0"/>
        <w:ind w:left="0"/>
        <w:jc w:val="both"/>
      </w:pPr>
      <w:r>
        <w:rPr>
          <w:rFonts w:ascii="Times New Roman"/>
          <w:b w:val="false"/>
          <w:i w:val="false"/>
          <w:color w:val="000000"/>
          <w:sz w:val="28"/>
        </w:rPr>
        <w:t>
      Кермек Гмелина - многолетнее травянистое растение. Цветет в июле - сентябре, плодоносит в августе - сентябре. В корнях содержит до 25% дубильных веществ. Рекомендуется к возделыванию в культуре на засоленнях почвах для промышленных целей. Используется в медицине как вяжущее кровоостанавливающее средство и при желудочно-кишечных заболеваниях. Хороший медонос, но мед дает низкого качества.</w:t>
      </w:r>
    </w:p>
    <w:bookmarkStart w:name="z20" w:id="13"/>
    <w:p>
      <w:pPr>
        <w:spacing w:after="0"/>
        <w:ind w:left="0"/>
        <w:jc w:val="left"/>
      </w:pPr>
      <w:r>
        <w:rPr>
          <w:rFonts w:ascii="Times New Roman"/>
          <w:b/>
          <w:i w:val="false"/>
          <w:color w:val="000000"/>
        </w:rPr>
        <w:t xml:space="preserve"> 3. ПОЧВЫ</w:t>
      </w:r>
    </w:p>
    <w:bookmarkEnd w:id="13"/>
    <w:p>
      <w:pPr>
        <w:spacing w:after="0"/>
        <w:ind w:left="0"/>
        <w:jc w:val="both"/>
      </w:pPr>
      <w:r>
        <w:rPr>
          <w:rFonts w:ascii="Times New Roman"/>
          <w:b w:val="false"/>
          <w:i w:val="false"/>
          <w:color w:val="000000"/>
          <w:sz w:val="28"/>
        </w:rPr>
        <w:t>
      Согласно схеме "Природно - сельскохозяйственного районирования земельного фонда Казахстана" обследованная территория расположена сухостепной и полупустынной зонах Центрально-Казахстанской и Зайсанской провинциях Калбинском и Зайсанском округах.</w:t>
      </w:r>
    </w:p>
    <w:p>
      <w:pPr>
        <w:spacing w:after="0"/>
        <w:ind w:left="0"/>
        <w:jc w:val="both"/>
      </w:pPr>
      <w:r>
        <w:rPr>
          <w:rFonts w:ascii="Times New Roman"/>
          <w:b w:val="false"/>
          <w:i w:val="false"/>
          <w:color w:val="000000"/>
          <w:sz w:val="28"/>
        </w:rPr>
        <w:t>
      Согласно "Систематическому списку и основным диагностическим показателям почв горных и предгорных территорий Казахстана", (Алма-Ата, 1989 г.) на землях Абайского сельского округа выделены следующие типы, подтипы и роды почв:</w:t>
      </w:r>
    </w:p>
    <w:p>
      <w:pPr>
        <w:spacing w:after="0"/>
        <w:ind w:left="0"/>
        <w:jc w:val="both"/>
      </w:pPr>
      <w:r>
        <w:rPr>
          <w:rFonts w:ascii="Times New Roman"/>
          <w:b w:val="false"/>
          <w:i w:val="false"/>
          <w:color w:val="000000"/>
          <w:sz w:val="28"/>
        </w:rPr>
        <w:t>
      Лесолуговые - распространены в среднегорном поясе на обследованной территории, где занимают склоны южных, реже западных экспозиций. Развиваются под луговой растительностью. Почвообразующие породы - двучленные элювиально-делювиальные щебнистые суглинки, подстилаемые щебнистым рухляком плотных пород, реже - трещиноватыми плотными породами. Естественная растительность представлена осоково-разнотравным сообществом (осоки: джунгарская, черноколосая и приземистая). Кроме трав в небольшом количестве встречаются кустарники - кизильник, таволга, шиповник. Сомкнутость трав 90-100%, кустарников - 10-20%.</w:t>
      </w:r>
    </w:p>
    <w:p>
      <w:pPr>
        <w:spacing w:after="0"/>
        <w:ind w:left="0"/>
        <w:jc w:val="both"/>
      </w:pPr>
      <w:r>
        <w:rPr>
          <w:rFonts w:ascii="Times New Roman"/>
          <w:b w:val="false"/>
          <w:i w:val="false"/>
          <w:color w:val="000000"/>
          <w:sz w:val="28"/>
        </w:rPr>
        <w:t>
      Лесолуговые почвы характеризуются высокой гумусностью (10-17%), мощность горизонта А составляет 25-45 см с глубиной гумусность уменьшается сначала резко, а затем более постепенно. Как правило, кислотность усиливается с глубиной.</w:t>
      </w:r>
    </w:p>
    <w:p>
      <w:pPr>
        <w:spacing w:after="0"/>
        <w:ind w:left="0"/>
        <w:jc w:val="both"/>
      </w:pPr>
      <w:r>
        <w:rPr>
          <w:rFonts w:ascii="Times New Roman"/>
          <w:b w:val="false"/>
          <w:i w:val="false"/>
          <w:color w:val="000000"/>
          <w:sz w:val="28"/>
        </w:rPr>
        <w:t>
      Описываемые пастбища используются как пастбища в летний период.</w:t>
      </w:r>
    </w:p>
    <w:p>
      <w:pPr>
        <w:spacing w:after="0"/>
        <w:ind w:left="0"/>
        <w:jc w:val="both"/>
      </w:pPr>
      <w:r>
        <w:rPr>
          <w:rFonts w:ascii="Times New Roman"/>
          <w:b w:val="false"/>
          <w:i w:val="false"/>
          <w:color w:val="000000"/>
          <w:sz w:val="28"/>
        </w:rPr>
        <w:t>
      Лесолугово-степные - выделяются по среднегорьям на территории Абайского сельского округа на склонах южной и местами западной экспозиции, в комплексе с лесолуговыми почвами под лугово-степной растительностью.</w:t>
      </w:r>
    </w:p>
    <w:p>
      <w:pPr>
        <w:spacing w:after="0"/>
        <w:ind w:left="0"/>
        <w:jc w:val="both"/>
      </w:pPr>
      <w:r>
        <w:rPr>
          <w:rFonts w:ascii="Times New Roman"/>
          <w:b w:val="false"/>
          <w:i w:val="false"/>
          <w:color w:val="000000"/>
          <w:sz w:val="28"/>
        </w:rPr>
        <w:t>
      Почвообразующими породами служат элювиально-делювиальные щебнистые суглинки, реже - супеси, на небольшой глубине подстилаемые щебнистым, обычно бес карбонатным рухляком. Естественная растительность лесо - луговостепных почв представлена дерновиннозлаково - разнотравно - полынными сообществами. Сомкнутость растительности составляет 90%.</w:t>
      </w:r>
    </w:p>
    <w:p>
      <w:pPr>
        <w:spacing w:after="0"/>
        <w:ind w:left="0"/>
        <w:jc w:val="both"/>
      </w:pPr>
      <w:r>
        <w:rPr>
          <w:rFonts w:ascii="Times New Roman"/>
          <w:b w:val="false"/>
          <w:i w:val="false"/>
          <w:color w:val="000000"/>
          <w:sz w:val="28"/>
        </w:rPr>
        <w:t>
      Содержание гумуса в верхних горизонтах лугово-лесостепных почв достигает 6-12%, азота - 0,4-1,0%. С глубиной содержание гумуса и азота уменьшается постепенно.</w:t>
      </w:r>
    </w:p>
    <w:p>
      <w:pPr>
        <w:spacing w:after="0"/>
        <w:ind w:left="0"/>
        <w:jc w:val="both"/>
      </w:pPr>
      <w:r>
        <w:rPr>
          <w:rFonts w:ascii="Times New Roman"/>
          <w:b w:val="false"/>
          <w:i w:val="false"/>
          <w:color w:val="000000"/>
          <w:sz w:val="28"/>
        </w:rPr>
        <w:t>
      Реакция почвенной суспензии среднекислая (рН = 5-6), усиливающаяся или ослабляющаяся с глубиной.</w:t>
      </w:r>
    </w:p>
    <w:p>
      <w:pPr>
        <w:spacing w:after="0"/>
        <w:ind w:left="0"/>
        <w:jc w:val="both"/>
      </w:pPr>
      <w:r>
        <w:rPr>
          <w:rFonts w:ascii="Times New Roman"/>
          <w:b w:val="false"/>
          <w:i w:val="false"/>
          <w:color w:val="000000"/>
          <w:sz w:val="28"/>
        </w:rPr>
        <w:t>
      Механический состав - суглинистый.</w:t>
      </w:r>
    </w:p>
    <w:p>
      <w:pPr>
        <w:spacing w:after="0"/>
        <w:ind w:left="0"/>
        <w:jc w:val="both"/>
      </w:pPr>
      <w:r>
        <w:rPr>
          <w:rFonts w:ascii="Times New Roman"/>
          <w:b w:val="false"/>
          <w:i w:val="false"/>
          <w:color w:val="000000"/>
          <w:sz w:val="28"/>
        </w:rPr>
        <w:t>
      Описываемые пастбища используются как пастбища в летний период.</w:t>
      </w:r>
    </w:p>
    <w:p>
      <w:pPr>
        <w:spacing w:after="0"/>
        <w:ind w:left="0"/>
        <w:jc w:val="both"/>
      </w:pPr>
      <w:r>
        <w:rPr>
          <w:rFonts w:ascii="Times New Roman"/>
          <w:b w:val="false"/>
          <w:i w:val="false"/>
          <w:color w:val="000000"/>
          <w:sz w:val="28"/>
        </w:rPr>
        <w:t>
      Темно-каштановые почвы получили широкое распространение обследуемой территории.</w:t>
      </w:r>
    </w:p>
    <w:p>
      <w:pPr>
        <w:spacing w:after="0"/>
        <w:ind w:left="0"/>
        <w:jc w:val="both"/>
      </w:pPr>
      <w:r>
        <w:rPr>
          <w:rFonts w:ascii="Times New Roman"/>
          <w:b w:val="false"/>
          <w:i w:val="false"/>
          <w:color w:val="000000"/>
          <w:sz w:val="28"/>
        </w:rPr>
        <w:t>
      Почвы подгорных равнин, межгорных долин и предгорий, формирующиеся под влиянием вертикальной зональности.</w:t>
      </w:r>
    </w:p>
    <w:p>
      <w:pPr>
        <w:spacing w:after="0"/>
        <w:ind w:left="0"/>
        <w:jc w:val="both"/>
      </w:pPr>
      <w:r>
        <w:rPr>
          <w:rFonts w:ascii="Times New Roman"/>
          <w:b w:val="false"/>
          <w:i w:val="false"/>
          <w:color w:val="000000"/>
          <w:sz w:val="28"/>
        </w:rPr>
        <w:t>
      Абсолютные высоты, к которым приурочены описываемые почвы колеблются в пределах 800-1200 м.</w:t>
      </w:r>
    </w:p>
    <w:p>
      <w:pPr>
        <w:spacing w:after="0"/>
        <w:ind w:left="0"/>
        <w:jc w:val="both"/>
      </w:pPr>
      <w:r>
        <w:rPr>
          <w:rFonts w:ascii="Times New Roman"/>
          <w:b w:val="false"/>
          <w:i w:val="false"/>
          <w:color w:val="000000"/>
          <w:sz w:val="28"/>
        </w:rPr>
        <w:t>
      По устройству поверхности описываемая территория разнообразна и представляет собой низкогорья, составляющие систему невысоких хребтов или увалов, разделяющихся межгорными впадинами, иногда очень крупными. Увалы и хребты низкогорий имеют мягкие очертания, а вершины их часто характеризуются выровненными платообразными поверхностями, обусловленными ступенчатым строением.</w:t>
      </w:r>
    </w:p>
    <w:p>
      <w:pPr>
        <w:spacing w:after="0"/>
        <w:ind w:left="0"/>
        <w:jc w:val="both"/>
      </w:pPr>
      <w:r>
        <w:rPr>
          <w:rFonts w:ascii="Times New Roman"/>
          <w:b w:val="false"/>
          <w:i w:val="false"/>
          <w:color w:val="000000"/>
          <w:sz w:val="28"/>
        </w:rPr>
        <w:t>
      Грунтовые воды залегают глубже 10 метров и на почвообразовательные процессы влияния не оказывают.</w:t>
      </w:r>
    </w:p>
    <w:p>
      <w:pPr>
        <w:spacing w:after="0"/>
        <w:ind w:left="0"/>
        <w:jc w:val="both"/>
      </w:pPr>
      <w:r>
        <w:rPr>
          <w:rFonts w:ascii="Times New Roman"/>
          <w:b w:val="false"/>
          <w:i w:val="false"/>
          <w:color w:val="000000"/>
          <w:sz w:val="28"/>
        </w:rPr>
        <w:t>
      Естественный растительный покров темно-каштановых почв представлен тырсово - типчаково - полынными группировками, обычно с ксерофитным разнотравьем и кустарниками.</w:t>
      </w:r>
    </w:p>
    <w:p>
      <w:pPr>
        <w:spacing w:after="0"/>
        <w:ind w:left="0"/>
        <w:jc w:val="both"/>
      </w:pPr>
      <w:r>
        <w:rPr>
          <w:rFonts w:ascii="Times New Roman"/>
          <w:b w:val="false"/>
          <w:i w:val="false"/>
          <w:color w:val="000000"/>
          <w:sz w:val="28"/>
        </w:rPr>
        <w:t>
      По механическому составу описываемые почвы преимущественно средне- и тяжелосуглинистые иногда супесчаные.</w:t>
      </w:r>
    </w:p>
    <w:p>
      <w:pPr>
        <w:spacing w:after="0"/>
        <w:ind w:left="0"/>
        <w:jc w:val="both"/>
      </w:pPr>
      <w:r>
        <w:rPr>
          <w:rFonts w:ascii="Times New Roman"/>
          <w:b w:val="false"/>
          <w:i w:val="false"/>
          <w:color w:val="000000"/>
          <w:sz w:val="28"/>
        </w:rPr>
        <w:t>
      В зависимости от особенностей почвообразующих пород среди темно-каштановых почв различаются генетические роды обычных (нормальных), карбонатных и малоразвитых.</w:t>
      </w:r>
    </w:p>
    <w:p>
      <w:pPr>
        <w:spacing w:after="0"/>
        <w:ind w:left="0"/>
        <w:jc w:val="both"/>
      </w:pPr>
      <w:r>
        <w:rPr>
          <w:rFonts w:ascii="Times New Roman"/>
          <w:b w:val="false"/>
          <w:i w:val="false"/>
          <w:color w:val="000000"/>
          <w:sz w:val="28"/>
        </w:rPr>
        <w:t>
      Темно-каштановые обычные - имеют широкое распространение. По рельефу темно-каштановые обычные маломощные почвы приурочены к низкогорье, холмисто-волнисто-увалистая поверхность. Почвообразующими породами описываемых почв служат в преобладающем большинстве лессовидные суглинки и лессы, а также элювиально-делювиальные отложения суглинистого мех состава, иногда защебненные. Растительный покров представлен ковыльными, типчаково-полынными группировками с разнотравьем и кустарниками (таволга, карагана и другие).</w:t>
      </w:r>
    </w:p>
    <w:p>
      <w:pPr>
        <w:spacing w:after="0"/>
        <w:ind w:left="0"/>
        <w:jc w:val="both"/>
      </w:pPr>
      <w:r>
        <w:rPr>
          <w:rFonts w:ascii="Times New Roman"/>
          <w:b w:val="false"/>
          <w:i w:val="false"/>
          <w:color w:val="000000"/>
          <w:sz w:val="28"/>
        </w:rPr>
        <w:t>
      Почвы характеризуются хорошо дифференцированным профилем. Горизонт А на целинных участках (мощностью в среднем 18 см) имеет коричнево-серый цвет, мелкокомковатую или непрочно-комковатую на целинных участках и пороховидную структуру на пашне. Переход в горизонт В1 всегда ясный.</w:t>
      </w:r>
    </w:p>
    <w:p>
      <w:pPr>
        <w:spacing w:after="0"/>
        <w:ind w:left="0"/>
        <w:jc w:val="both"/>
      </w:pPr>
      <w:r>
        <w:rPr>
          <w:rFonts w:ascii="Times New Roman"/>
          <w:b w:val="false"/>
          <w:i w:val="false"/>
          <w:color w:val="000000"/>
          <w:sz w:val="28"/>
        </w:rPr>
        <w:t>
      Горизонт В1 в отличие от верхнего гумусового имеет четкий бурый оттенок на темно-коричневом фоне основного цвета, комковатую или крупно-комковатую структуру.</w:t>
      </w:r>
    </w:p>
    <w:p>
      <w:pPr>
        <w:spacing w:after="0"/>
        <w:ind w:left="0"/>
        <w:jc w:val="both"/>
      </w:pPr>
      <w:r>
        <w:rPr>
          <w:rFonts w:ascii="Times New Roman"/>
          <w:b w:val="false"/>
          <w:i w:val="false"/>
          <w:color w:val="000000"/>
          <w:sz w:val="28"/>
        </w:rPr>
        <w:t>
      Темно-каштановые обычные почвы хорошо гумусированы. Так, в горизонте А содержание гумуса в почвах тяжело - и среднесуглинистого мехсостава колеблется в пределах 3,2-4,2%, составляя в среднем 3,7%; в почвах легко суглинистых содержание его несколько ниже - величина его в среднем составляет 3,2%. Уменьшение гумуса с глубиной довольно заметное: в горизонте В1 его количество определяется 1,8-3,1%, в горизонте В1 - 1,4-2,2%, постепенно снижаясь до 0,8-1,7% в горизонте ВС.</w:t>
      </w:r>
    </w:p>
    <w:p>
      <w:pPr>
        <w:spacing w:after="0"/>
        <w:ind w:left="0"/>
        <w:jc w:val="both"/>
      </w:pPr>
      <w:r>
        <w:rPr>
          <w:rFonts w:ascii="Times New Roman"/>
          <w:b w:val="false"/>
          <w:i w:val="false"/>
          <w:color w:val="000000"/>
          <w:sz w:val="28"/>
        </w:rPr>
        <w:t>
      Используются как пастбища.</w:t>
      </w:r>
    </w:p>
    <w:p>
      <w:pPr>
        <w:spacing w:after="0"/>
        <w:ind w:left="0"/>
        <w:jc w:val="both"/>
      </w:pPr>
      <w:r>
        <w:rPr>
          <w:rFonts w:ascii="Times New Roman"/>
          <w:b w:val="false"/>
          <w:i w:val="false"/>
          <w:color w:val="000000"/>
          <w:sz w:val="28"/>
        </w:rPr>
        <w:t>
      Темно - каштановые неполно развитые - темно-каштановые почвы формируются в условиях относительно выровненного рельефа в низкогорье.</w:t>
      </w:r>
    </w:p>
    <w:p>
      <w:pPr>
        <w:spacing w:after="0"/>
        <w:ind w:left="0"/>
        <w:jc w:val="both"/>
      </w:pPr>
      <w:r>
        <w:rPr>
          <w:rFonts w:ascii="Times New Roman"/>
          <w:b w:val="false"/>
          <w:i w:val="false"/>
          <w:color w:val="000000"/>
          <w:sz w:val="28"/>
        </w:rPr>
        <w:t>
      Почвообразующими породами служат элювиально - делювиальные суглинки, лессовидные суглинки и лессы, иногда довольно мощные, а также, очень редко, третичные глины или их переотложенные продукты.</w:t>
      </w:r>
    </w:p>
    <w:p>
      <w:pPr>
        <w:spacing w:after="0"/>
        <w:ind w:left="0"/>
        <w:jc w:val="both"/>
      </w:pPr>
      <w:r>
        <w:rPr>
          <w:rFonts w:ascii="Times New Roman"/>
          <w:b w:val="false"/>
          <w:i w:val="false"/>
          <w:color w:val="000000"/>
          <w:sz w:val="28"/>
        </w:rPr>
        <w:t>
      Темно - каштановые неполно развитые почвы распространены в западной части сельского округа.</w:t>
      </w:r>
    </w:p>
    <w:p>
      <w:pPr>
        <w:spacing w:after="0"/>
        <w:ind w:left="0"/>
        <w:jc w:val="both"/>
      </w:pPr>
      <w:r>
        <w:rPr>
          <w:rFonts w:ascii="Times New Roman"/>
          <w:b w:val="false"/>
          <w:i w:val="false"/>
          <w:color w:val="000000"/>
          <w:sz w:val="28"/>
        </w:rPr>
        <w:t>
      Среднее содержание гумуса в горизонте А составляет 3,5%, варьируя впределах 1,7-4,3%.</w:t>
      </w:r>
    </w:p>
    <w:p>
      <w:pPr>
        <w:spacing w:after="0"/>
        <w:ind w:left="0"/>
        <w:jc w:val="both"/>
      </w:pPr>
      <w:r>
        <w:rPr>
          <w:rFonts w:ascii="Times New Roman"/>
          <w:b w:val="false"/>
          <w:i w:val="false"/>
          <w:color w:val="000000"/>
          <w:sz w:val="28"/>
        </w:rPr>
        <w:t>
      Мощность гумусового горизонта А+В1 варьирует в пределах 30-50 см, составляя в среднем 39 см.</w:t>
      </w:r>
    </w:p>
    <w:p>
      <w:pPr>
        <w:spacing w:after="0"/>
        <w:ind w:left="0"/>
        <w:jc w:val="both"/>
      </w:pPr>
      <w:r>
        <w:rPr>
          <w:rFonts w:ascii="Times New Roman"/>
          <w:b w:val="false"/>
          <w:i w:val="false"/>
          <w:color w:val="000000"/>
          <w:sz w:val="28"/>
        </w:rPr>
        <w:t>
      Растительный покров представлен злаково-полынным, злаково - полынно -разнотравным и злаково - разнотравным типом.</w:t>
      </w:r>
    </w:p>
    <w:p>
      <w:pPr>
        <w:spacing w:after="0"/>
        <w:ind w:left="0"/>
        <w:jc w:val="both"/>
      </w:pPr>
      <w:r>
        <w:rPr>
          <w:rFonts w:ascii="Times New Roman"/>
          <w:b w:val="false"/>
          <w:i w:val="false"/>
          <w:color w:val="000000"/>
          <w:sz w:val="28"/>
        </w:rPr>
        <w:t>
      Данные почвы используются как пастбища.</w:t>
      </w:r>
    </w:p>
    <w:p>
      <w:pPr>
        <w:spacing w:after="0"/>
        <w:ind w:left="0"/>
        <w:jc w:val="both"/>
      </w:pPr>
      <w:r>
        <w:rPr>
          <w:rFonts w:ascii="Times New Roman"/>
          <w:b w:val="false"/>
          <w:i w:val="false"/>
          <w:color w:val="000000"/>
          <w:sz w:val="28"/>
        </w:rPr>
        <w:t>
      Темно-каштановые малоразвитые получили широкое распространение и приурочены к наиболее крутым, хорошо прогреваемым склонам и узким вершинам увалов, хребтов и отдельны гор.</w:t>
      </w:r>
    </w:p>
    <w:p>
      <w:pPr>
        <w:spacing w:after="0"/>
        <w:ind w:left="0"/>
        <w:jc w:val="both"/>
      </w:pPr>
      <w:r>
        <w:rPr>
          <w:rFonts w:ascii="Times New Roman"/>
          <w:b w:val="false"/>
          <w:i w:val="false"/>
          <w:color w:val="000000"/>
          <w:sz w:val="28"/>
        </w:rPr>
        <w:t>
      Растительный покров образован горно-степными группировками, где ведущими являются ксерофитные дерновинные злаки (тырса, ковылок, ковыль красноватый, овсец, типчак и другие) с разнотравьем, полукустарничками и кустарниками, которые иногда образуют заросли.</w:t>
      </w:r>
    </w:p>
    <w:p>
      <w:pPr>
        <w:spacing w:after="0"/>
        <w:ind w:left="0"/>
        <w:jc w:val="both"/>
      </w:pPr>
      <w:r>
        <w:rPr>
          <w:rFonts w:ascii="Times New Roman"/>
          <w:b w:val="false"/>
          <w:i w:val="false"/>
          <w:color w:val="000000"/>
          <w:sz w:val="28"/>
        </w:rPr>
        <w:t>
      Почвообразующими породами служат маломощные элювиально-делювиальные щебнистые суглинки, рухляк плотных пород или массивно-кристаллические породы, залегающие в пределах 40 см и выше от поверхности.</w:t>
      </w:r>
    </w:p>
    <w:p>
      <w:pPr>
        <w:spacing w:after="0"/>
        <w:ind w:left="0"/>
        <w:jc w:val="both"/>
      </w:pPr>
      <w:r>
        <w:rPr>
          <w:rFonts w:ascii="Times New Roman"/>
          <w:b w:val="false"/>
          <w:i w:val="false"/>
          <w:color w:val="000000"/>
          <w:sz w:val="28"/>
        </w:rPr>
        <w:t>
      Характерной особенностью описываемых почв является то, что мощность мелкоземистой толщи не превышает 40 см, а для морфологического облика характерна слаба дифференциация на генетические горизонты, как правило, неполный набор их и укороченность. Мощность мелкоземистого слоя в среднем составляет 30 см, варьируя в пределах 24-38 см, мощность горизонта А не превышает 14 см.</w:t>
      </w:r>
    </w:p>
    <w:p>
      <w:pPr>
        <w:spacing w:after="0"/>
        <w:ind w:left="0"/>
        <w:jc w:val="both"/>
      </w:pPr>
      <w:r>
        <w:rPr>
          <w:rFonts w:ascii="Times New Roman"/>
          <w:b w:val="false"/>
          <w:i w:val="false"/>
          <w:color w:val="000000"/>
          <w:sz w:val="28"/>
        </w:rPr>
        <w:t>
      Почвы сравнительно хорошо гумусированы - в горизонте А средняя величина гумуса составляет 3,2% с колебаниями от 2,0% до 4,9%, в горизонте В содержание гумуса варьирует в пределах 1,4-2,8%, составляя в среднем 2,0%.</w:t>
      </w:r>
    </w:p>
    <w:p>
      <w:pPr>
        <w:spacing w:after="0"/>
        <w:ind w:left="0"/>
        <w:jc w:val="both"/>
      </w:pPr>
      <w:r>
        <w:rPr>
          <w:rFonts w:ascii="Times New Roman"/>
          <w:b w:val="false"/>
          <w:i w:val="false"/>
          <w:color w:val="000000"/>
          <w:sz w:val="28"/>
        </w:rPr>
        <w:t>
      Как правило, темно-каштановые малоразвитые почвы не вскипают от соляной кислоты с поверхности и не имеют четко выраженного иллювиально-карбонатного горизонта.</w:t>
      </w:r>
    </w:p>
    <w:p>
      <w:pPr>
        <w:spacing w:after="0"/>
        <w:ind w:left="0"/>
        <w:jc w:val="both"/>
      </w:pPr>
      <w:r>
        <w:rPr>
          <w:rFonts w:ascii="Times New Roman"/>
          <w:b w:val="false"/>
          <w:i w:val="false"/>
          <w:color w:val="000000"/>
          <w:sz w:val="28"/>
        </w:rPr>
        <w:t>
      Деление темно-каштановых малоразвитых почв на роды не производится.</w:t>
      </w:r>
    </w:p>
    <w:p>
      <w:pPr>
        <w:spacing w:after="0"/>
        <w:ind w:left="0"/>
        <w:jc w:val="both"/>
      </w:pPr>
      <w:r>
        <w:rPr>
          <w:rFonts w:ascii="Times New Roman"/>
          <w:b w:val="false"/>
          <w:i w:val="false"/>
          <w:color w:val="000000"/>
          <w:sz w:val="28"/>
        </w:rPr>
        <w:t>
      По механическому составу преобладают суглинистые разновидности.</w:t>
      </w:r>
    </w:p>
    <w:p>
      <w:pPr>
        <w:spacing w:after="0"/>
        <w:ind w:left="0"/>
        <w:jc w:val="both"/>
      </w:pPr>
      <w:r>
        <w:rPr>
          <w:rFonts w:ascii="Times New Roman"/>
          <w:b w:val="false"/>
          <w:i w:val="false"/>
          <w:color w:val="000000"/>
          <w:sz w:val="28"/>
        </w:rPr>
        <w:t>
      Описанные почвы используются как пастбища.</w:t>
      </w:r>
    </w:p>
    <w:p>
      <w:pPr>
        <w:spacing w:after="0"/>
        <w:ind w:left="0"/>
        <w:jc w:val="both"/>
      </w:pPr>
      <w:r>
        <w:rPr>
          <w:rFonts w:ascii="Times New Roman"/>
          <w:b w:val="false"/>
          <w:i w:val="false"/>
          <w:color w:val="000000"/>
          <w:sz w:val="28"/>
        </w:rPr>
        <w:t>
      Лугово-темно-каштановые обычные - среднемощные распространены в подзоне темно-каштановых почв, приурочиваясь к днищам неглубоких балок, логов, межувалистым замкнутым понижениям.</w:t>
      </w:r>
    </w:p>
    <w:p>
      <w:pPr>
        <w:spacing w:after="0"/>
        <w:ind w:left="0"/>
        <w:jc w:val="both"/>
      </w:pPr>
      <w:r>
        <w:rPr>
          <w:rFonts w:ascii="Times New Roman"/>
          <w:b w:val="false"/>
          <w:i w:val="false"/>
          <w:color w:val="000000"/>
          <w:sz w:val="28"/>
        </w:rPr>
        <w:t>
      Растительный покров представлен злаковым и злаково - полынно-разнотравным сообществом, где в составе злаков присутствуют: волоснец узкий, пырей ползучий, мятлик луговой, вейник наземный, тростник обыкновенный.</w:t>
      </w:r>
    </w:p>
    <w:p>
      <w:pPr>
        <w:spacing w:after="0"/>
        <w:ind w:left="0"/>
        <w:jc w:val="both"/>
      </w:pPr>
      <w:r>
        <w:rPr>
          <w:rFonts w:ascii="Times New Roman"/>
          <w:b w:val="false"/>
          <w:i w:val="false"/>
          <w:color w:val="000000"/>
          <w:sz w:val="28"/>
        </w:rPr>
        <w:t>
      Почвообразующими породами служат лессовидные суглинки, глубоко подстилаемые галечниковыми отложениями или слабо слоистые древнеаллювиальные, в основном суглинистые отложения.</w:t>
      </w:r>
    </w:p>
    <w:p>
      <w:pPr>
        <w:spacing w:after="0"/>
        <w:ind w:left="0"/>
        <w:jc w:val="both"/>
      </w:pPr>
      <w:r>
        <w:rPr>
          <w:rFonts w:ascii="Times New Roman"/>
          <w:b w:val="false"/>
          <w:i w:val="false"/>
          <w:color w:val="000000"/>
          <w:sz w:val="28"/>
        </w:rPr>
        <w:t>
      Мощность гумусовых горизонтов А+В1 колеблется в пределах 43-58 см, составляя в среднем 52 см. Горизонт А, который почти всегда подразделяется на А* и А1, имеет темно-серую окраску, комковатую или зернисто-комковатую структуру (на целине). Горизонт В отличается от вышележащего бурым оттенком, комковатой или непрочно-комковатой структурой. В этом горизонте, который, как правило, подразделяется на подгоризонты В, и Вг отмечается вскипание от соляной кислоты.</w:t>
      </w:r>
    </w:p>
    <w:p>
      <w:pPr>
        <w:spacing w:after="0"/>
        <w:ind w:left="0"/>
        <w:jc w:val="both"/>
      </w:pPr>
      <w:r>
        <w:rPr>
          <w:rFonts w:ascii="Times New Roman"/>
          <w:b w:val="false"/>
          <w:i w:val="false"/>
          <w:color w:val="000000"/>
          <w:sz w:val="28"/>
        </w:rPr>
        <w:t>
      Почвы характеризуются высоким содержанием гумуса: в горизонте А его величина составляет 5,1%, варьируя в пределах 3,9-7,8%; в В1 - 3,5%, снижаясь почти вдвое в горизонтах В1 и ВС.</w:t>
      </w:r>
    </w:p>
    <w:p>
      <w:pPr>
        <w:spacing w:after="0"/>
        <w:ind w:left="0"/>
        <w:jc w:val="both"/>
      </w:pPr>
      <w:r>
        <w:rPr>
          <w:rFonts w:ascii="Times New Roman"/>
          <w:b w:val="false"/>
          <w:i w:val="false"/>
          <w:color w:val="000000"/>
          <w:sz w:val="28"/>
        </w:rPr>
        <w:t>
      По механическому составу описываемые почвы преимущественно средне- итяжелосуглинистые.</w:t>
      </w:r>
    </w:p>
    <w:p>
      <w:pPr>
        <w:spacing w:after="0"/>
        <w:ind w:left="0"/>
        <w:jc w:val="both"/>
      </w:pPr>
      <w:r>
        <w:rPr>
          <w:rFonts w:ascii="Times New Roman"/>
          <w:b w:val="false"/>
          <w:i w:val="false"/>
          <w:color w:val="000000"/>
          <w:sz w:val="28"/>
        </w:rPr>
        <w:t>
      Участки используются как пастбищные, так и сенокосные угодья.</w:t>
      </w:r>
    </w:p>
    <w:p>
      <w:pPr>
        <w:spacing w:after="0"/>
        <w:ind w:left="0"/>
        <w:jc w:val="both"/>
      </w:pPr>
      <w:r>
        <w:rPr>
          <w:rFonts w:ascii="Times New Roman"/>
          <w:b w:val="false"/>
          <w:i w:val="false"/>
          <w:color w:val="000000"/>
          <w:sz w:val="28"/>
        </w:rPr>
        <w:t>
      Светло-каштановые почвы - выделяются в полосе низкогорного и предгорного рельефа в пределах абсолютных высот от 700-800 м до 1300-1400 м и составляют верхнюю подзону пустынно-степной зоны.</w:t>
      </w:r>
    </w:p>
    <w:p>
      <w:pPr>
        <w:spacing w:after="0"/>
        <w:ind w:left="0"/>
        <w:jc w:val="both"/>
      </w:pPr>
      <w:r>
        <w:rPr>
          <w:rFonts w:ascii="Times New Roman"/>
          <w:b w:val="false"/>
          <w:i w:val="false"/>
          <w:color w:val="000000"/>
          <w:sz w:val="28"/>
        </w:rPr>
        <w:t>
      Они развиваются на склонах различных экспозиций низких гор, островных</w:t>
      </w:r>
    </w:p>
    <w:p>
      <w:pPr>
        <w:spacing w:after="0"/>
        <w:ind w:left="0"/>
        <w:jc w:val="both"/>
      </w:pPr>
      <w:r>
        <w:rPr>
          <w:rFonts w:ascii="Times New Roman"/>
          <w:b w:val="false"/>
          <w:i w:val="false"/>
          <w:color w:val="000000"/>
          <w:sz w:val="28"/>
        </w:rPr>
        <w:t>
      сопок и на увалисто-волнистых наклонных предгорных равнинах.</w:t>
      </w:r>
    </w:p>
    <w:p>
      <w:pPr>
        <w:spacing w:after="0"/>
        <w:ind w:left="0"/>
        <w:jc w:val="both"/>
      </w:pPr>
      <w:r>
        <w:rPr>
          <w:rFonts w:ascii="Times New Roman"/>
          <w:b w:val="false"/>
          <w:i w:val="false"/>
          <w:color w:val="000000"/>
          <w:sz w:val="28"/>
        </w:rPr>
        <w:t>
      Светло-каштановые малоразвитые почвы получили ограниченное распространение по склонам холмисто-увалистой предгорной равнины. Образуют комплексы обычными почвами.</w:t>
      </w:r>
    </w:p>
    <w:p>
      <w:pPr>
        <w:spacing w:after="0"/>
        <w:ind w:left="0"/>
        <w:jc w:val="both"/>
      </w:pPr>
      <w:r>
        <w:rPr>
          <w:rFonts w:ascii="Times New Roman"/>
          <w:b w:val="false"/>
          <w:i w:val="false"/>
          <w:color w:val="000000"/>
          <w:sz w:val="28"/>
        </w:rPr>
        <w:t>
      Растительный покров, представлен дерновиннозлаково – узко дольчатополынными, злаковополынными, и кустарниково - полынно-разнотравными сообществами.</w:t>
      </w:r>
    </w:p>
    <w:p>
      <w:pPr>
        <w:spacing w:after="0"/>
        <w:ind w:left="0"/>
        <w:jc w:val="both"/>
      </w:pPr>
      <w:r>
        <w:rPr>
          <w:rFonts w:ascii="Times New Roman"/>
          <w:b w:val="false"/>
          <w:i w:val="false"/>
          <w:color w:val="000000"/>
          <w:sz w:val="28"/>
        </w:rPr>
        <w:t>
      Почвообразующие породы залегают в пределах 40 см и выше от поверхности почв и представлены плотными породами или их рухляком.</w:t>
      </w:r>
    </w:p>
    <w:p>
      <w:pPr>
        <w:spacing w:after="0"/>
        <w:ind w:left="0"/>
        <w:jc w:val="both"/>
      </w:pPr>
      <w:r>
        <w:rPr>
          <w:rFonts w:ascii="Times New Roman"/>
          <w:b w:val="false"/>
          <w:i w:val="false"/>
          <w:color w:val="000000"/>
          <w:sz w:val="28"/>
        </w:rPr>
        <w:t>
      Содержание гумуса в горизонте А колеблется в пределах 1,3-2,5% со средним значением 1,6%. Уменьшение его с глубиной постепенное. В связи с сильной скелетностью характеризуемых почв общий запас гумуса значительно меньше по сравнению с полнопрофильными вариантами. В большинстве случаев светло-каштановые малоразвитые почвы вскипают с поверхности, однако карбонаты могут быть обнаружены и за пределами мелкоземистой толщи. Четко выраженного карбонатного горизонта они не имеют и чаще всего видимые формы карбонатов отмечаются только на нижних поверхностях щебня в виде натеков, щеток, припаек в породе. Нередко здесь присутствует гипс и водорастворимые соли. Механический состав почв суглинистый.</w:t>
      </w:r>
    </w:p>
    <w:p>
      <w:pPr>
        <w:spacing w:after="0"/>
        <w:ind w:left="0"/>
        <w:jc w:val="both"/>
      </w:pPr>
      <w:r>
        <w:rPr>
          <w:rFonts w:ascii="Times New Roman"/>
          <w:b w:val="false"/>
          <w:i w:val="false"/>
          <w:color w:val="000000"/>
          <w:sz w:val="28"/>
        </w:rPr>
        <w:t>
      Данные почвы используются в качестве пастбищ.</w:t>
      </w:r>
    </w:p>
    <w:p>
      <w:pPr>
        <w:spacing w:after="0"/>
        <w:ind w:left="0"/>
        <w:jc w:val="both"/>
      </w:pPr>
      <w:r>
        <w:rPr>
          <w:rFonts w:ascii="Times New Roman"/>
          <w:b w:val="false"/>
          <w:i w:val="false"/>
          <w:color w:val="000000"/>
          <w:sz w:val="28"/>
        </w:rPr>
        <w:t>
      Лугово-светло-каштановые почвы - этого типа формируются в подзоне светло-каштановых почв в относительно пониженных участках, в местах с повышенным увлажнением за счет временного скопления вод поверхностного или внутрипочвенного бокового стока или в местах с неглубоким залеганием (3-6 м) грунтовых вод.</w:t>
      </w:r>
    </w:p>
    <w:p>
      <w:pPr>
        <w:spacing w:after="0"/>
        <w:ind w:left="0"/>
        <w:jc w:val="both"/>
      </w:pPr>
      <w:r>
        <w:rPr>
          <w:rFonts w:ascii="Times New Roman"/>
          <w:b w:val="false"/>
          <w:i w:val="false"/>
          <w:color w:val="000000"/>
          <w:sz w:val="28"/>
        </w:rPr>
        <w:t>
      Почвообразующими породами служат те же отложения, что и на соответствующих автоморфных почвах.</w:t>
      </w:r>
    </w:p>
    <w:p>
      <w:pPr>
        <w:spacing w:after="0"/>
        <w:ind w:left="0"/>
        <w:jc w:val="both"/>
      </w:pPr>
      <w:r>
        <w:rPr>
          <w:rFonts w:ascii="Times New Roman"/>
          <w:b w:val="false"/>
          <w:i w:val="false"/>
          <w:color w:val="000000"/>
          <w:sz w:val="28"/>
        </w:rPr>
        <w:t>
      Лугово-светло-каштановые солончаковые почвы - распространены данные почвы на западной части основного участка исследуемого округа. Формирование их связано с неглубоко залегающими минерализованными грунтовыми водами или значительным засолением почвообразующих пород при явном преобладании выпотного режима увлажнения над промывным.</w:t>
      </w:r>
    </w:p>
    <w:p>
      <w:pPr>
        <w:spacing w:after="0"/>
        <w:ind w:left="0"/>
        <w:jc w:val="both"/>
      </w:pPr>
      <w:r>
        <w:rPr>
          <w:rFonts w:ascii="Times New Roman"/>
          <w:b w:val="false"/>
          <w:i w:val="false"/>
          <w:color w:val="000000"/>
          <w:sz w:val="28"/>
        </w:rPr>
        <w:t>
      Растительность представлена следующими видами; бескильницей, пыремпустынным и ползучим, вейником, тростником, типчаком, ажреком,тысячелистником, солодкой, цикорием и полнью осеньей.</w:t>
      </w:r>
    </w:p>
    <w:p>
      <w:pPr>
        <w:spacing w:after="0"/>
        <w:ind w:left="0"/>
        <w:jc w:val="both"/>
      </w:pPr>
      <w:r>
        <w:rPr>
          <w:rFonts w:ascii="Times New Roman"/>
          <w:b w:val="false"/>
          <w:i w:val="false"/>
          <w:color w:val="000000"/>
          <w:sz w:val="28"/>
        </w:rPr>
        <w:t>
      Характеризуются наличием водорастворимых солей количество которых соответствует слабой степени засоления.</w:t>
      </w:r>
    </w:p>
    <w:p>
      <w:pPr>
        <w:spacing w:after="0"/>
        <w:ind w:left="0"/>
        <w:jc w:val="both"/>
      </w:pPr>
      <w:r>
        <w:rPr>
          <w:rFonts w:ascii="Times New Roman"/>
          <w:b w:val="false"/>
          <w:i w:val="false"/>
          <w:color w:val="000000"/>
          <w:sz w:val="28"/>
        </w:rPr>
        <w:t>
      Описанные почвы используются в качестве пастбищ.</w:t>
      </w:r>
    </w:p>
    <w:p>
      <w:pPr>
        <w:spacing w:after="0"/>
        <w:ind w:left="0"/>
        <w:jc w:val="both"/>
      </w:pPr>
      <w:r>
        <w:rPr>
          <w:rFonts w:ascii="Times New Roman"/>
          <w:b w:val="false"/>
          <w:i w:val="false"/>
          <w:color w:val="000000"/>
          <w:sz w:val="28"/>
        </w:rPr>
        <w:t>
      Пойменные темно-каштановые солончаковые почвы - формируются в притеррасной пойме рек и ручьев, засоляющейся в результате подпитывания минерализованными грунтовыми водами.</w:t>
      </w:r>
    </w:p>
    <w:p>
      <w:pPr>
        <w:spacing w:after="0"/>
        <w:ind w:left="0"/>
        <w:jc w:val="both"/>
      </w:pPr>
      <w:r>
        <w:rPr>
          <w:rFonts w:ascii="Times New Roman"/>
          <w:b w:val="false"/>
          <w:i w:val="false"/>
          <w:color w:val="000000"/>
          <w:sz w:val="28"/>
        </w:rPr>
        <w:t>
      Почвообразующими породами служат слабослоистые суглинистые иглинистые аллювиальные отложения, слабозасоленные в глубоких горизонтах.</w:t>
      </w:r>
    </w:p>
    <w:p>
      <w:pPr>
        <w:spacing w:after="0"/>
        <w:ind w:left="0"/>
        <w:jc w:val="both"/>
      </w:pPr>
      <w:r>
        <w:rPr>
          <w:rFonts w:ascii="Times New Roman"/>
          <w:b w:val="false"/>
          <w:i w:val="false"/>
          <w:color w:val="000000"/>
          <w:sz w:val="28"/>
        </w:rPr>
        <w:t>
      Естественная растительность представлена сообществами.</w:t>
      </w:r>
    </w:p>
    <w:p>
      <w:pPr>
        <w:spacing w:after="0"/>
        <w:ind w:left="0"/>
        <w:jc w:val="both"/>
      </w:pPr>
      <w:r>
        <w:rPr>
          <w:rFonts w:ascii="Times New Roman"/>
          <w:b w:val="false"/>
          <w:i w:val="false"/>
          <w:color w:val="000000"/>
          <w:sz w:val="28"/>
        </w:rPr>
        <w:t>
      Морфологический профиль характеризуется небольшой мощностью гумусового горизонта и присутствием легкорастворимых солей свыше 0,3% в верхнем 80-сантиметровом слое (в слое 0-30 см в солончаковых и 30-80 см - в солончаковатых).</w:t>
      </w:r>
    </w:p>
    <w:p>
      <w:pPr>
        <w:spacing w:after="0"/>
        <w:ind w:left="0"/>
        <w:jc w:val="both"/>
      </w:pPr>
      <w:r>
        <w:rPr>
          <w:rFonts w:ascii="Times New Roman"/>
          <w:b w:val="false"/>
          <w:i w:val="false"/>
          <w:color w:val="000000"/>
          <w:sz w:val="28"/>
        </w:rPr>
        <w:t>
      Почвенные луговые засоленные почвы имеют небольшое количество азотаи гумусность - 3-4%.</w:t>
      </w:r>
    </w:p>
    <w:p>
      <w:pPr>
        <w:spacing w:after="0"/>
        <w:ind w:left="0"/>
        <w:jc w:val="both"/>
      </w:pPr>
      <w:r>
        <w:rPr>
          <w:rFonts w:ascii="Times New Roman"/>
          <w:b w:val="false"/>
          <w:i w:val="false"/>
          <w:color w:val="000000"/>
          <w:sz w:val="28"/>
        </w:rPr>
        <w:t>
      Описываемые почвы используются под пастбища.</w:t>
      </w:r>
    </w:p>
    <w:bookmarkStart w:name="z21" w:id="14"/>
    <w:p>
      <w:pPr>
        <w:spacing w:after="0"/>
        <w:ind w:left="0"/>
        <w:jc w:val="left"/>
      </w:pPr>
      <w:r>
        <w:rPr>
          <w:rFonts w:ascii="Times New Roman"/>
          <w:b/>
          <w:i w:val="false"/>
          <w:color w:val="000000"/>
        </w:rPr>
        <w:t xml:space="preserve"> 4. ОСНОВЫ РАЦИОНАЛЬНОГО ИСПОЛЬЗОВАНИЯ ПАСТБИЩ</w:t>
      </w:r>
    </w:p>
    <w:bookmarkEnd w:id="14"/>
    <w:p>
      <w:pPr>
        <w:spacing w:after="0"/>
        <w:ind w:left="0"/>
        <w:jc w:val="both"/>
      </w:pPr>
      <w:r>
        <w:rPr>
          <w:rFonts w:ascii="Times New Roman"/>
          <w:b w:val="false"/>
          <w:i w:val="false"/>
          <w:color w:val="000000"/>
          <w:sz w:val="28"/>
        </w:rPr>
        <w:t>
      Земли Абайского сельского округа представлены одним Основным участком. По результатам геоботанических изысканий и компьютерного вычисления общая площадь Абайского сельского округа составила 96158 га. Основная часть округа находится на территории Зайсанской котловины, обширную представляющей обширную межгорную равнину с слабым, как бы концентрическим уклоном в сторону озера Зайсан и Бухтарминского водохранилища. Территория округа характеризуется сложным рельефом и значительной разницей абсолютных высот. Территория округа по агроклиматическому районированию относится к двум районам.</w:t>
      </w:r>
    </w:p>
    <w:p>
      <w:pPr>
        <w:spacing w:after="0"/>
        <w:ind w:left="0"/>
        <w:jc w:val="both"/>
      </w:pPr>
      <w:r>
        <w:rPr>
          <w:rFonts w:ascii="Times New Roman"/>
          <w:b w:val="false"/>
          <w:i w:val="false"/>
          <w:color w:val="000000"/>
          <w:sz w:val="28"/>
        </w:rPr>
        <w:t>
      Почвы сельского округа характеризуются довольно большим разнообразием. В пределах горного рельефа и предгорного равнина располагаются зональные светло-каштановые, темно-каштановые малоразвитые суглинистые почвы. Преобладающими почвами по долинам речек и ручьев являются лугово-темно-каштановые суглинистые почвы.</w:t>
      </w:r>
    </w:p>
    <w:p>
      <w:pPr>
        <w:spacing w:after="0"/>
        <w:ind w:left="0"/>
        <w:jc w:val="both"/>
      </w:pPr>
      <w:r>
        <w:rPr>
          <w:rFonts w:ascii="Times New Roman"/>
          <w:b w:val="false"/>
          <w:i w:val="false"/>
          <w:color w:val="000000"/>
          <w:sz w:val="28"/>
        </w:rPr>
        <w:t>
      По природным условиям и характеру растительности территория Абайского сельского округа относится к сухостепной полупустынной зонах. Здесь широко распространены виды растений пустынных и каменистых степей, таких как полынь узко дольчатая, полынь белоземельная, лебеда седая, биюргун, тасбиюргун, ковыли - волосатик, красноватый, Лессинга, овсяница бороздчатая.</w:t>
      </w:r>
    </w:p>
    <w:p>
      <w:pPr>
        <w:spacing w:after="0"/>
        <w:ind w:left="0"/>
        <w:jc w:val="both"/>
      </w:pPr>
      <w:r>
        <w:rPr>
          <w:rFonts w:ascii="Times New Roman"/>
          <w:b w:val="false"/>
          <w:i w:val="false"/>
          <w:color w:val="000000"/>
          <w:sz w:val="28"/>
        </w:rPr>
        <w:t>
      Вся территория округа представлена главным образом пастбищами. Сенокосы занимают небольшую часть. По долине реки Курчум в виде небольших рощ растут осина, тополь, ива, береза и другие.</w:t>
      </w:r>
    </w:p>
    <w:p>
      <w:pPr>
        <w:spacing w:after="0"/>
        <w:ind w:left="0"/>
        <w:jc w:val="both"/>
      </w:pPr>
      <w:r>
        <w:rPr>
          <w:rFonts w:ascii="Times New Roman"/>
          <w:b w:val="false"/>
          <w:i w:val="false"/>
          <w:color w:val="000000"/>
          <w:sz w:val="28"/>
        </w:rPr>
        <w:t>
      По долинам рек и ручьев, приозерным понижениям, в депрессиях рельефа, с близкими грунтовыми водами в зависимости от минерализации этих вод, распространены злаковые, чиевые и волоснецовые пастбищи сенокосы, а также и другие пастбища. Формируются они на лугово-темно-каштановых суглинистых почвах. Из злаков преобладают: ежа, тонконог, вейник, мятлик, пырей, вейник и тростник. На очень влажных участках растут осоки и тростник.</w:t>
      </w:r>
    </w:p>
    <w:p>
      <w:pPr>
        <w:spacing w:after="0"/>
        <w:ind w:left="0"/>
        <w:jc w:val="both"/>
      </w:pPr>
      <w:r>
        <w:rPr>
          <w:rFonts w:ascii="Times New Roman"/>
          <w:b w:val="false"/>
          <w:i w:val="false"/>
          <w:color w:val="000000"/>
          <w:sz w:val="28"/>
        </w:rPr>
        <w:t>
      Гидрографическая сеть территории Абайского сельского округа слабо обеспечена водой. Здесь мало родников и ручьев. Грунтовые воды на предгорной равнине залегают на глубине от 2 до 50 м. По территории округа протекает река Курчум, есть колодцы и несколько мелких озер.</w:t>
      </w:r>
    </w:p>
    <w:p>
      <w:pPr>
        <w:spacing w:after="0"/>
        <w:ind w:left="0"/>
        <w:jc w:val="both"/>
      </w:pPr>
      <w:r>
        <w:rPr>
          <w:rFonts w:ascii="Times New Roman"/>
          <w:b w:val="false"/>
          <w:i w:val="false"/>
          <w:color w:val="000000"/>
          <w:sz w:val="28"/>
        </w:rPr>
        <w:t>
      В целом пастбища в горной части территории округа обводнены хорошо, а в равнинной части слабо.</w:t>
      </w:r>
    </w:p>
    <w:p>
      <w:pPr>
        <w:spacing w:after="0"/>
        <w:ind w:left="0"/>
        <w:jc w:val="both"/>
      </w:pPr>
      <w:r>
        <w:rPr>
          <w:rFonts w:ascii="Times New Roman"/>
          <w:b w:val="false"/>
          <w:i w:val="false"/>
          <w:color w:val="000000"/>
          <w:sz w:val="28"/>
        </w:rPr>
        <w:t>
      Экологический анализ флоры района изысканий показывает широкое распространение ксерофитов по равнинам.</w:t>
      </w:r>
    </w:p>
    <w:p>
      <w:pPr>
        <w:spacing w:after="0"/>
        <w:ind w:left="0"/>
        <w:jc w:val="both"/>
      </w:pPr>
      <w:r>
        <w:rPr>
          <w:rFonts w:ascii="Times New Roman"/>
          <w:b w:val="false"/>
          <w:i w:val="false"/>
          <w:color w:val="000000"/>
          <w:sz w:val="28"/>
        </w:rPr>
        <w:t>
      Важную роль в распределении растительного покрова играют элементы растительности и рельефа. В результате обследования в зависимости от условий обитания и состава растительности природные кормовые угодья систематизированы в пределах основных форм рельефа: среднегорье, низкогорье, понижение низкогорье, предгорная равнина, понижения равнины.</w:t>
      </w:r>
    </w:p>
    <w:p>
      <w:pPr>
        <w:spacing w:after="0"/>
        <w:ind w:left="0"/>
        <w:jc w:val="both"/>
      </w:pPr>
      <w:r>
        <w:rPr>
          <w:rFonts w:ascii="Times New Roman"/>
          <w:b w:val="false"/>
          <w:i w:val="false"/>
          <w:color w:val="000000"/>
          <w:sz w:val="28"/>
        </w:rPr>
        <w:t>
      Все вышеописанные сообщества на территории землепользования в настоящее время используются под выпас частного скота.</w:t>
      </w:r>
    </w:p>
    <w:p>
      <w:pPr>
        <w:spacing w:after="0"/>
        <w:ind w:left="0"/>
        <w:jc w:val="both"/>
      </w:pPr>
      <w:r>
        <w:rPr>
          <w:rFonts w:ascii="Times New Roman"/>
          <w:b w:val="false"/>
          <w:i w:val="false"/>
          <w:color w:val="000000"/>
          <w:sz w:val="28"/>
        </w:rPr>
        <w:t>
      Общая площадь территории изысканий составила 96158 га, из них сельскохозяйственных угодий - 85514 га, прочих угодий - 10644 га.</w:t>
      </w:r>
    </w:p>
    <w:p>
      <w:pPr>
        <w:spacing w:after="0"/>
        <w:ind w:left="0"/>
        <w:jc w:val="both"/>
      </w:pPr>
      <w:r>
        <w:rPr>
          <w:rFonts w:ascii="Times New Roman"/>
          <w:b w:val="false"/>
          <w:i w:val="false"/>
          <w:color w:val="000000"/>
          <w:sz w:val="28"/>
        </w:rPr>
        <w:t>
      Сельскохозяйственные угодья представлены пастбищами - 75125 га, сенокосами - 5344 га, пашнями - 5045 га. В числе прочих угодий выделены: лес лиственный - 2092 га, заросли тростников - 14 га, заросли кустарников - 327 га, выходы коренных пород - 6528 га, водная поверхность - 1291 га, населенные пункты - 329 га, прочие (карьер) - 63 га.</w:t>
      </w:r>
    </w:p>
    <w:p>
      <w:pPr>
        <w:spacing w:after="0"/>
        <w:ind w:left="0"/>
        <w:jc w:val="both"/>
      </w:pPr>
      <w:r>
        <w:rPr>
          <w:rFonts w:ascii="Times New Roman"/>
          <w:b w:val="false"/>
          <w:i w:val="false"/>
          <w:color w:val="000000"/>
          <w:sz w:val="28"/>
        </w:rPr>
        <w:t>
      Среди пастбищ по сезонности использования доминируют весенне-летне-осенние - 58540 га (77,9%). Кормозапас весенне-летне-осенних пастбиш составляет 305931 ц сухой массы или 163940 ц кормовых единиц</w:t>
      </w:r>
    </w:p>
    <w:p>
      <w:pPr>
        <w:spacing w:after="0"/>
        <w:ind w:left="0"/>
        <w:jc w:val="both"/>
      </w:pPr>
      <w:r>
        <w:rPr>
          <w:rFonts w:ascii="Times New Roman"/>
          <w:b w:val="false"/>
          <w:i w:val="false"/>
          <w:color w:val="000000"/>
          <w:sz w:val="28"/>
        </w:rPr>
        <w:t>
      На долю весенне-раннелетне-осенние - 15866 га (21,1%). Кормозапас весенне-раннелетне-осенних пастбищ составляет 84184</w:t>
      </w:r>
    </w:p>
    <w:p>
      <w:pPr>
        <w:spacing w:after="0"/>
        <w:ind w:left="0"/>
        <w:jc w:val="both"/>
      </w:pPr>
      <w:r>
        <w:rPr>
          <w:rFonts w:ascii="Times New Roman"/>
          <w:b w:val="false"/>
          <w:i w:val="false"/>
          <w:color w:val="000000"/>
          <w:sz w:val="28"/>
        </w:rPr>
        <w:t>
      На долю летних пастбищ приходится 719 га (1,0%). Кормозапас осенних пастбищ составляет 4734 ц сухой массы или 2529 ц кормовых единиц.</w:t>
      </w:r>
    </w:p>
    <w:p>
      <w:pPr>
        <w:spacing w:after="0"/>
        <w:ind w:left="0"/>
        <w:jc w:val="both"/>
      </w:pPr>
      <w:r>
        <w:rPr>
          <w:rFonts w:ascii="Times New Roman"/>
          <w:b w:val="false"/>
          <w:i w:val="false"/>
          <w:color w:val="000000"/>
          <w:sz w:val="28"/>
        </w:rPr>
        <w:t>
      Общий кормозапас пастбищ обследованной территории составил394849 ц сухой массы или 212756 ц кормовых единиц.</w:t>
      </w:r>
    </w:p>
    <w:p>
      <w:pPr>
        <w:spacing w:after="0"/>
        <w:ind w:left="0"/>
        <w:jc w:val="both"/>
      </w:pPr>
      <w:r>
        <w:rPr>
          <w:rFonts w:ascii="Times New Roman"/>
          <w:b w:val="false"/>
          <w:i w:val="false"/>
          <w:color w:val="000000"/>
          <w:sz w:val="28"/>
        </w:rPr>
        <w:t>
      Кормозапас сенокосов, площадь которых 5344 га, составляет 38154 ц сухоймассы или 20286 ц кормовых единиц 11. Из общей площади пастбищ 75125 га на чистые приходится 7614 га (10,1%), закустаренные - 26050 га (34,7%), затырсованные - 29072 га (38,7%), сбитые - 12389 га (16,5%). К сбитым пастбищам отнесены 2113га (17,1%) от площади сбитых пастбищ) заросшие однолетнее солянковой растительностью, 5540 га (44,7%) - полынными растениями, 4145 га (33,5%) - засоренные плохо поедаемыми растениями, 591 га (4,7%) - засоренные ядовитыми растениями.</w:t>
      </w:r>
    </w:p>
    <w:p>
      <w:pPr>
        <w:spacing w:after="0"/>
        <w:ind w:left="0"/>
        <w:jc w:val="both"/>
      </w:pPr>
      <w:r>
        <w:rPr>
          <w:rFonts w:ascii="Times New Roman"/>
          <w:b w:val="false"/>
          <w:i w:val="false"/>
          <w:color w:val="000000"/>
          <w:sz w:val="28"/>
        </w:rPr>
        <w:t>
      Из общей площади сенокосов 5344 га на чистые приходится 2197 га (41,1%), затырсованные - 2203 (41,2%), засоренные ядовитыми плохопоедаемымы растениями - 944 га (17,7%) (приложение 5, форма 12).</w:t>
      </w:r>
    </w:p>
    <w:p>
      <w:pPr>
        <w:spacing w:after="0"/>
        <w:ind w:left="0"/>
        <w:jc w:val="both"/>
      </w:pPr>
      <w:r>
        <w:rPr>
          <w:rFonts w:ascii="Times New Roman"/>
          <w:b w:val="false"/>
          <w:i w:val="false"/>
          <w:color w:val="000000"/>
          <w:sz w:val="28"/>
        </w:rPr>
        <w:t>
      На территории округа рекомендуется сократить пастбищную нагрузку и упорядочить выпас скота на площади - 13058 га, борьба с сорной растительностью рекомендована на площади - 2819 га.</w:t>
      </w:r>
    </w:p>
    <w:bookmarkStart w:name="z22" w:id="15"/>
    <w:p>
      <w:pPr>
        <w:spacing w:after="0"/>
        <w:ind w:left="0"/>
        <w:jc w:val="left"/>
      </w:pPr>
      <w:r>
        <w:rPr>
          <w:rFonts w:ascii="Times New Roman"/>
          <w:b/>
          <w:i w:val="false"/>
          <w:color w:val="000000"/>
        </w:rPr>
        <w:t xml:space="preserve"> 4.1. Рациональное использование пастбищ.</w:t>
      </w:r>
    </w:p>
    <w:bookmarkEnd w:id="15"/>
    <w:p>
      <w:pPr>
        <w:spacing w:after="0"/>
        <w:ind w:left="0"/>
        <w:jc w:val="both"/>
      </w:pPr>
      <w:r>
        <w:rPr>
          <w:rFonts w:ascii="Times New Roman"/>
          <w:b w:val="false"/>
          <w:i w:val="false"/>
          <w:color w:val="000000"/>
          <w:sz w:val="28"/>
        </w:rPr>
        <w:t>
      Значение пастбищ и пастбищного корма для животных. Зеленая трава является высокопитательным кормовым средством. Трава наилучших пастбищ, особенно злаково-бобовых травосмесей, содержит в 100 кг свыше 10 кг перевариваемого белка и до 100 кормовых единиц.</w:t>
      </w:r>
    </w:p>
    <w:p>
      <w:pPr>
        <w:spacing w:after="0"/>
        <w:ind w:left="0"/>
        <w:jc w:val="both"/>
      </w:pPr>
      <w:r>
        <w:rPr>
          <w:rFonts w:ascii="Times New Roman"/>
          <w:b w:val="false"/>
          <w:i w:val="false"/>
          <w:color w:val="000000"/>
          <w:sz w:val="28"/>
        </w:rPr>
        <w:t>
      Кроме того, переваримость сена значительно ниже, чем зеленой травы (на 15-20%). В пастбищной зеленой траве содержится, например, витамина А приблизительно в 10 раз больше, чем в сене. Минеральные вещества (главным образом соли кальция и соли фосфора), при недостатке которых невозможны правильный рост и развитие животных, имеются в необходимом количестве в зеленой пастбищной траве. Пастбищное содержание оказывает многостороннее благоприятное влияние на животных. Оно способствует хорошему развитию и усилению роста животных, их организм становится более устойчивым против различных заболеваний. Основы рационального использования пастбищ.</w:t>
      </w:r>
    </w:p>
    <w:bookmarkStart w:name="z23" w:id="16"/>
    <w:p>
      <w:pPr>
        <w:spacing w:after="0"/>
        <w:ind w:left="0"/>
        <w:jc w:val="left"/>
      </w:pPr>
      <w:r>
        <w:rPr>
          <w:rFonts w:ascii="Times New Roman"/>
          <w:b/>
          <w:i w:val="false"/>
          <w:color w:val="000000"/>
        </w:rPr>
        <w:t xml:space="preserve"> 4.2. Влияние выпаса на травостой</w:t>
      </w:r>
    </w:p>
    <w:bookmarkEnd w:id="16"/>
    <w:p>
      <w:pPr>
        <w:spacing w:after="0"/>
        <w:ind w:left="0"/>
        <w:jc w:val="both"/>
      </w:pPr>
      <w:r>
        <w:rPr>
          <w:rFonts w:ascii="Times New Roman"/>
          <w:b w:val="false"/>
          <w:i w:val="false"/>
          <w:color w:val="000000"/>
          <w:sz w:val="28"/>
        </w:rPr>
        <w:t>
      Выпас скота оказывает большое воздействие на растения. Скусывание, повреждение, выбивание, притаптывание травостоя к земле в значительной мере отражаются на его состоянии. Кроме того, выпас влияет на почву луговых угодий, уплотняя ее, изменяя физические свойства почвы, водно-воздушный и пищевой режим. В результате выпаса изменяется растительный покров: число видов растений в травостое уменьшается, сохраняются главным образом так называемые пастбище выносливые виды травостоя ухудшается, снижается урожай трав.</w:t>
      </w:r>
    </w:p>
    <w:p>
      <w:pPr>
        <w:spacing w:after="0"/>
        <w:ind w:left="0"/>
        <w:jc w:val="both"/>
      </w:pPr>
      <w:r>
        <w:rPr>
          <w:rFonts w:ascii="Times New Roman"/>
          <w:b w:val="false"/>
          <w:i w:val="false"/>
          <w:color w:val="000000"/>
          <w:sz w:val="28"/>
        </w:rPr>
        <w:t>
      Продуктивность пастбища большом количестве малоценные травы, грубо Пастбище выносливые вид поддерживается только наличием в травостое таких луговых трав, которые способны быстро отрастать после стравливания и давать устойчивый выход зеленой массы в течение всего пастбищного периода. Эта способность более всего свойственна низовым злакам, обычно составляющим основу травостоя на пастбищах.</w:t>
      </w:r>
    </w:p>
    <w:p>
      <w:pPr>
        <w:spacing w:after="0"/>
        <w:ind w:left="0"/>
        <w:jc w:val="both"/>
      </w:pPr>
      <w:r>
        <w:rPr>
          <w:rFonts w:ascii="Times New Roman"/>
          <w:b w:val="false"/>
          <w:i w:val="false"/>
          <w:color w:val="000000"/>
          <w:sz w:val="28"/>
        </w:rPr>
        <w:t>
      Основные требования при рациональном использовании пастбищ сводятся к тому, чтобы создать условия для получения высокой продуктивности пастбищ, сохранить ценный состав травостоя в течение длительного времени, обеспечить пастбищным кормом наибольшее количество животных и получить высокий выход животноводческой продукции.</w:t>
      </w:r>
    </w:p>
    <w:p>
      <w:pPr>
        <w:spacing w:after="0"/>
        <w:ind w:left="0"/>
        <w:jc w:val="both"/>
      </w:pPr>
      <w:r>
        <w:rPr>
          <w:rFonts w:ascii="Times New Roman"/>
          <w:b w:val="false"/>
          <w:i w:val="false"/>
          <w:color w:val="000000"/>
          <w:sz w:val="28"/>
        </w:rPr>
        <w:t>
      Огромное значение в этом отношении имеют накопление и расходование запасных питательных веществ при пастбищном использовании травостоя, биология роста и развития трав, сезонные колебания в отрастании травы, периоды "отдыха" пастбищ. При использовании пастбищ очень высокое значение имеет, прежде всего, сроки, высота и количество стравливаний, а также нормальная нагрузка пастбищ.</w:t>
      </w:r>
    </w:p>
    <w:p>
      <w:pPr>
        <w:spacing w:after="0"/>
        <w:ind w:left="0"/>
        <w:jc w:val="both"/>
      </w:pPr>
      <w:r>
        <w:rPr>
          <w:rFonts w:ascii="Times New Roman"/>
          <w:b w:val="false"/>
          <w:i w:val="false"/>
          <w:color w:val="000000"/>
          <w:sz w:val="28"/>
        </w:rPr>
        <w:t>
      Мероприятия, поддерживающие и повышающие продуктивность пастбищ. На пастбище сохранить урожай и хороший кормовой состав на высоком уровне за все годы использования можно только сочетанием рациональных приемов использования.</w:t>
      </w:r>
    </w:p>
    <w:p>
      <w:pPr>
        <w:spacing w:after="0"/>
        <w:ind w:left="0"/>
        <w:jc w:val="both"/>
      </w:pPr>
      <w:r>
        <w:rPr>
          <w:rFonts w:ascii="Times New Roman"/>
          <w:b w:val="false"/>
          <w:i w:val="false"/>
          <w:color w:val="000000"/>
          <w:sz w:val="28"/>
        </w:rPr>
        <w:t>
      При достаточной интенсивности использования трав, имеется ряд мероприятий позволяющие поддерживания их урожай на высоком уровне: применение мер ухода за пастбищем (внесение удобрений, подсев трав, подкашивание не стравленных остатков и др.), периодическое предоставление отдыха, использование после созревания семян, чередование пастбищного использования с сенокосным, введение загонно-участковой системы выпаса. Все эти мероприятия должны применяться не разорвано друг от друга, а в определенной системе - путем введения пастбищах длительного пользования пастбищеоборотов.</w:t>
      </w:r>
    </w:p>
    <w:p>
      <w:pPr>
        <w:spacing w:after="0"/>
        <w:ind w:left="0"/>
        <w:jc w:val="both"/>
      </w:pPr>
      <w:r>
        <w:rPr>
          <w:rFonts w:ascii="Times New Roman"/>
          <w:b w:val="false"/>
          <w:i w:val="false"/>
          <w:color w:val="000000"/>
          <w:sz w:val="28"/>
        </w:rPr>
        <w:t>
      К мерам ухода и одновременно улучшения травостоя пастбища и повышения его урожая относятся также мероприятия по улучшению и регулированию водного режима, удаления кочек, кустарника, борьба с сорняками и другое.</w:t>
      </w:r>
    </w:p>
    <w:bookmarkStart w:name="z24" w:id="17"/>
    <w:p>
      <w:pPr>
        <w:spacing w:after="0"/>
        <w:ind w:left="0"/>
        <w:jc w:val="left"/>
      </w:pPr>
      <w:r>
        <w:rPr>
          <w:rFonts w:ascii="Times New Roman"/>
          <w:b/>
          <w:i w:val="false"/>
          <w:color w:val="000000"/>
        </w:rPr>
        <w:t xml:space="preserve"> 5. ОРГАНИЗАЦИЯ ТЕРРИТОРИИ ПАСТБИЩ</w:t>
      </w:r>
    </w:p>
    <w:bookmarkEnd w:id="17"/>
    <w:p>
      <w:pPr>
        <w:spacing w:after="0"/>
        <w:ind w:left="0"/>
        <w:jc w:val="both"/>
      </w:pPr>
      <w:r>
        <w:rPr>
          <w:rFonts w:ascii="Times New Roman"/>
          <w:b w:val="false"/>
          <w:i w:val="false"/>
          <w:color w:val="000000"/>
          <w:sz w:val="28"/>
        </w:rPr>
        <w:t>
      В создании прочной кормовой базы для животноводства и предотвращения процессов деградации пастбищ необходимо правильное использование пастбищ, которые являются одним из основных источников дешевых н питательных кормов.</w:t>
      </w:r>
    </w:p>
    <w:p>
      <w:pPr>
        <w:spacing w:after="0"/>
        <w:ind w:left="0"/>
        <w:jc w:val="both"/>
      </w:pPr>
      <w:r>
        <w:rPr>
          <w:rFonts w:ascii="Times New Roman"/>
          <w:b w:val="false"/>
          <w:i w:val="false"/>
          <w:color w:val="000000"/>
          <w:sz w:val="28"/>
        </w:rPr>
        <w:t>
      Основой рационального использования естественных пастбищ является пастбищеоборот.</w:t>
      </w:r>
    </w:p>
    <w:p>
      <w:pPr>
        <w:spacing w:after="0"/>
        <w:ind w:left="0"/>
        <w:jc w:val="both"/>
      </w:pPr>
      <w:r>
        <w:rPr>
          <w:rFonts w:ascii="Times New Roman"/>
          <w:b w:val="false"/>
          <w:i w:val="false"/>
          <w:color w:val="000000"/>
          <w:sz w:val="28"/>
        </w:rPr>
        <w:t>
      Пастбищеоборот - это система использования пастбищ и ухода за ними, направленная на поддержание и увеличение продуктивности травостоя. Система, в которой отдельные приемы использования и ухода чередуются, повторяясь по годам в определенной последовательности. Своевременное стравливание травостоя на определенных типах пастбищ, учитывая особенности вегетации растительности; наименьшее количество затрат на организацию пастбищного хозяйства; правильное размещение пастбищных участков, водо источников и сведения к минимуму холостых передвижений животных, соблюдение необходимых ветеринарно-профилактических требований.</w:t>
      </w:r>
    </w:p>
    <w:bookmarkStart w:name="z25" w:id="18"/>
    <w:p>
      <w:pPr>
        <w:spacing w:after="0"/>
        <w:ind w:left="0"/>
        <w:jc w:val="left"/>
      </w:pPr>
      <w:r>
        <w:rPr>
          <w:rFonts w:ascii="Times New Roman"/>
          <w:b/>
          <w:i w:val="false"/>
          <w:color w:val="000000"/>
        </w:rPr>
        <w:t xml:space="preserve"> 5.1. Основы рационального использования пастбищ.</w:t>
      </w:r>
    </w:p>
    <w:bookmarkEnd w:id="18"/>
    <w:p>
      <w:pPr>
        <w:spacing w:after="0"/>
        <w:ind w:left="0"/>
        <w:jc w:val="both"/>
      </w:pPr>
      <w:r>
        <w:rPr>
          <w:rFonts w:ascii="Times New Roman"/>
          <w:b w:val="false"/>
          <w:i w:val="false"/>
          <w:color w:val="000000"/>
          <w:sz w:val="28"/>
        </w:rPr>
        <w:t>
      Влияние выпаса на травостой. Выпас скота оказывает большое воздействие на растения. Скусывание, повреждение, выбивание, притаптывание травостоя к земле в значительной мере отражаются на его состоянии. Кроме того, выпас влияет на почву луговых угодий, уплотняя ее, изменяя физические свойства почвы, водно-воздушный и пищевой режим. В результате выпаса изменяется растительный покров: число видов растений в травостое уменьшается, растений. При неправильном использовании пастбищ часто появляются в большом количестве малоценные травы, грубостебельное разнотравье, качество травостоя ухудшается, снижается урожай трав. Продуктивность пастбища поддерживается только наличием в травостое таких луговых трав, которые способны быстро отрастать после стравливания и давать устойчивый выход зеленой массы в течение всего пастбищного периода. Эта способность более всего свойственна низовым злакам, обычно составляющим основу травостоя на пастбищах.</w:t>
      </w:r>
    </w:p>
    <w:p>
      <w:pPr>
        <w:spacing w:after="0"/>
        <w:ind w:left="0"/>
        <w:jc w:val="both"/>
      </w:pPr>
      <w:r>
        <w:rPr>
          <w:rFonts w:ascii="Times New Roman"/>
          <w:b w:val="false"/>
          <w:i w:val="false"/>
          <w:color w:val="000000"/>
          <w:sz w:val="28"/>
        </w:rPr>
        <w:t>
      Основные требования при рациональном использовании пастбищ сводятся к тому, чтобы создать условия для получения высокой продуктивности пастбищ, сохранить ценный состав травостоя в течение длительного времени, обеспечить пастбищным кормом наибольшее количество животных, и получить высокий выход животноводческой продукции. Огромное значение в этом отношении имеют накопление и расходование запасных питательных веществ при пастбищном использовании травостоя, биология роста и развития трав, сезонные колебания в отрастании травы, периоды "отдыха" пастбищ. При использовании пастбищ очень высокое значение имеет, прежде всего, сроки, высота и количество стравливаний, а также нормальная нагрузка пастбищ.</w:t>
      </w:r>
    </w:p>
    <w:p>
      <w:pPr>
        <w:spacing w:after="0"/>
        <w:ind w:left="0"/>
        <w:jc w:val="both"/>
      </w:pPr>
      <w:r>
        <w:rPr>
          <w:rFonts w:ascii="Times New Roman"/>
          <w:b w:val="false"/>
          <w:i w:val="false"/>
          <w:color w:val="000000"/>
          <w:sz w:val="28"/>
        </w:rPr>
        <w:t>
      Мероприятия, поддерживающие и повышающие продуктивность пастбищ. На пастбище сохранить урожай и хороший кормовой состав на высоком уровне за все годы использования можно только сочетанием рациональных приемов использования. При достаточной интенсивности использования трав, имеется ряд мероприятий позволяющие поддерживания их урожай на высоком уровне: применение мер ухода за пастбищем (внесение удобрений, подсев трав, подкашивание нестравленных остатков и др.), периодическое предоставление отдыха, использование после созревания семян, чередование пастбищного использования с сенокосным, введение загонно-участковой системы выпаса. Все эти мероприятия должны применяться не разорвано друг от друга, а в определенной системе - путем введения пастбищах длительного пользования пастбищеоборотов. К мерам ухода и одновременно улучшения травостоя пастбища и повышения его урожая относятся также мероприятия по улучшению и регулированию водного режима, удаления кочек, кустарника, борьба с сорняками и другие.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Абайскому сельскому округу</w:t>
            </w:r>
            <w:r>
              <w:br/>
            </w:r>
            <w:r>
              <w:rPr>
                <w:rFonts w:ascii="Times New Roman"/>
                <w:b w:val="false"/>
                <w:i w:val="false"/>
                <w:color w:val="000000"/>
                <w:sz w:val="20"/>
              </w:rPr>
              <w:t>Курчумского района</w:t>
            </w:r>
            <w:r>
              <w:br/>
            </w:r>
            <w:r>
              <w:rPr>
                <w:rFonts w:ascii="Times New Roman"/>
                <w:b w:val="false"/>
                <w:i w:val="false"/>
                <w:color w:val="000000"/>
                <w:sz w:val="20"/>
              </w:rPr>
              <w:t>на 2026-2030 годы</w:t>
            </w:r>
          </w:p>
        </w:tc>
      </w:tr>
    </w:tbl>
    <w:p>
      <w:pPr>
        <w:spacing w:after="0"/>
        <w:ind w:left="0"/>
        <w:jc w:val="both"/>
      </w:pPr>
      <w:r>
        <w:rPr>
          <w:rFonts w:ascii="Times New Roman"/>
          <w:b w:val="false"/>
          <w:i w:val="false"/>
          <w:color w:val="000000"/>
          <w:sz w:val="28"/>
        </w:rPr>
        <w:t>
      Сведения об объектах пастбищной инфраструктуры и о сервитутах для прогона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Объекты пастбищной инфраструктуры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действующих объектов пастбищной инфраструктуры, единиц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объектов пастбищной инфраструктуры требующих строительства (реконструкции), единиц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километров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тысяч квадрат-ных метров</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Обводнительные сооружения (скважины, трубчатые и шахтные колодцы, копани)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Скважин - 15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Сооружения, мосты, дороги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Скотопрогонные трассы, скотоостановочные водопойные площадки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километров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Емкости для купки овец, кошары и отгороженные места, ограждения пастбищ, изгороди (в том числе электроизгороди), загоны для загонно-порционного выпаса сельскохозяйственных животных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Расколы для ветеринарной обработки сельскохозяйственных животных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Бурабай - 1 село Койтас - 1 село Теректыбулак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Сооружения и объекты, предназначенные для обеспечения электрической и тепловой энергией, объекты по использованию возобновляемых и альтернативных источников энергии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Объекты водоснабжения другие виды жизнеобеспечения, сооружения для сезонного проживания персонала и иное имущество, необходимое для содержания и использования пастбищ</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Реки, ручьи и родники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Абайскому сельскому округу</w:t>
            </w:r>
            <w:r>
              <w:br/>
            </w:r>
            <w:r>
              <w:rPr>
                <w:rFonts w:ascii="Times New Roman"/>
                <w:b w:val="false"/>
                <w:i w:val="false"/>
                <w:color w:val="000000"/>
                <w:sz w:val="20"/>
              </w:rPr>
              <w:t>Курчумского района</w:t>
            </w:r>
            <w:r>
              <w:br/>
            </w:r>
            <w:r>
              <w:rPr>
                <w:rFonts w:ascii="Times New Roman"/>
                <w:b w:val="false"/>
                <w:i w:val="false"/>
                <w:color w:val="000000"/>
                <w:sz w:val="20"/>
              </w:rPr>
              <w:t>на 2026-2030 годы</w:t>
            </w:r>
          </w:p>
        </w:tc>
      </w:tr>
    </w:tbl>
    <w:p>
      <w:pPr>
        <w:spacing w:after="0"/>
        <w:ind w:left="0"/>
        <w:jc w:val="both"/>
      </w:pPr>
      <w:r>
        <w:rPr>
          <w:rFonts w:ascii="Times New Roman"/>
          <w:b w:val="false"/>
          <w:i w:val="false"/>
          <w:color w:val="000000"/>
          <w:sz w:val="28"/>
        </w:rPr>
        <w:t>
      Таблица 1. Данные о численности поголовья сельскохозяйственных животных, с указанием их владельцев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наличии) физических лиц или наименование юридических лиц</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Бизнес-идентификационный номер/индивидуальный идентификационный номер владельца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поголовья, голов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Лошадей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 (козы)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 (овцы)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Алихан Болат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870301301986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Абдолла Мукият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690827302788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Абдрахманов Мақсат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740109302499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Абзалхан Мукатай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630808399111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Абилмажинов Марат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620125300356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Абишпаев Куаныш Маиданович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750528300591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Абралимов Абзал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740621302284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Абралимов Марат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720710302849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Абралимов Нұрлан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500303302246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Авкубаев Фархат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740913302777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Адышев Бақытбек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530316300157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Айдарханов Талғат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640404301790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Айтақымет Серік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840616351543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Алибаев Темирбек Зайнелович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740123300161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Алибекұлы Сырым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940712350756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Аманжолов Бакан Калиулы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540103300547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Амиренова Багзада Тлеукановна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571110400420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Амірханова Мансия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550516400233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Амренов Бейбит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840512301115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Амренов Кенжеғали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691006302182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Амренов Руфат Салимович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860905301819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Ареков Беглан Омирбекович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761115301291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Арпабаев Асылбек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730613300113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Арпабаев Арман Алимжанович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710514302584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Арысбек Бердіхан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940601399031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Арысбек Иманғали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530721399029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Аскетаев Берік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530102300361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Ахметкали Темирхан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630516300442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Ахметқалиев Арман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690626300223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Ахметқалиев Мақсат Темірханұлы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910726351844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Болат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710327300125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Ашимов Ермек Амергалиевич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681014302243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Ашимов Эрик Амергалиевич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760501300972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Ашуов Берік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690712300072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Ашуов Сайлаубек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580910300294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Базарбай Оразбек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850623399092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Байырхан Абдолла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480705301524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Бақтияров Оразғали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600704300349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Баталов Батырбек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730118301232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Бахтияров Алибек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690421300982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Баяндина Нурия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451119400495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Бейсебаев Елубек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671103300135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Бейсебаев Әлібек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540326300292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Бекқожанова Шайза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620525400278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Бектемиров Олжас Каиргазинович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841115302267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"Болашақ" крестьянское хозяйство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810501399051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Боразбек Ынтымақ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700510350550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Ғазез Оразбек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880505351537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Гуммель Владимир Германович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631001303618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Дабынов Ғажайып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621024402015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Дабынов Ерболат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730719301881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Дабынов Мұрат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691021301969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Дабынов Совет Ашуұлы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630728300465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Дамұхан Мұқамет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880219303423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Дәлелқан Қасым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761005000771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Дөкен Оразқан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900407001317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Дөкен Сетербек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820518000167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Елеубаева Орынжамал Абдолдиновна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520507400645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Есимханов Бекайдар Зимуханбетович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560618301698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Егизбаев Кадылбек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540304300946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Ежембаев Дәулетхан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490314300196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Еженов Баян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611203301844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Ерлікұлы Мейіржан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841229301167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Есембаев Асхат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710604302355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Есенаев Сегізбай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560319300238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Есенбаева Улданай Садыковна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761001400100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Есімханов Жанайдар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600509403261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Есмұханбетов Жұмағали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520411300171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Әбек Ыбырайым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871004351445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Әдішев Жәнібек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470120300198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Жакупова Кайникамал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630704401924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Жақсылықов Ержан Серікұлы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980428350373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Жамбауова Айжамал Еркановна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650101407394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Жампейісова Катира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540101411588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Жампейсов Секен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570611301671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Жанаев Құмарғазы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500328301591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Жанаев Төкен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720930301232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Жанаева Кумыс Асимбековна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510204401446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Жанбауов Ерғалым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640618301902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Жумаибеков Берик Актангельдинович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790619301770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Жүмәдділ Нарсын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30515550103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Жұман Тасқынгул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750401499070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Жылыспаев Серікхан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580426301122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Ибраев Амангелді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671228301366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Еділ Амангельдыұлы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970406350585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Әділ Амангелдіұлы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930723350714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Куаныш Құрметұлы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980422351408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Курмет Сергеевич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710119300382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Иргебаев Мұбарак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631118300401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Іргебаев Болат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690214301777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Кабдуллин Аргынбек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650126302610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Кабдуллина Гульшат Сагидолдиновна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640831402112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Кабдыгалиева Салтанат Кумарбековна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700922402498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Казбаева Кульсарай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390101406688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Калибасова Людмила Канашевна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480918401241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Калыкова Кания Доконовна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540228400187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Камзина Гульмира Кумаргазыновна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780112400185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Канарбаева Раиса Сабиолловна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590115402148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Канжархан Екпин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700219302777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Касаинов Ризабек Калиолданович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660313302966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Каукей Бағила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880610351499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Кенжеғанова Қымбат Кенжеқанқызы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306650613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Кәлім Сиғыбат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790412350415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Кибатолдин Адил Муратович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950803351384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Конжабаев Кадылбек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560717300935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Куанов Азамат Даулетханович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811207300939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Кустубаева Раушан Саветбековна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660103401615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Қабдешов Қайрат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541128301584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Қабдығалиев Мұрат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621015300211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Қабдығалым Бейсен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850808399127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Қабылмажинов Болат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640801302886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Қаисаров Тоқтарбек Жансарбаевич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611227301607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Қайдар Сетерхан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760821399159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Қайырбаев Танаш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511111300082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Қалдыбаев Бибек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660220300419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Қалиақперов Дархан Кенжеғалиұлы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960508351075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Қалидолдин Болат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730101308541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Қалқабек Төкен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630415399105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Қамза Әбек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510506350451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Қанасбай Тасқынбек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720307350659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Қасымбаев Құмар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590824300477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Қасымжанов Қуаныш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670306301941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Қибатолдин Еділ Мұратұлы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991204350366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Қисасіләмов Нұржан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690324300915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Қопан Дүйсен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920225351505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Құмарғалиева Жазира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540408400859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Құмаров Саят Маратұлы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910607351490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Құсайынов Сейітқожа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711018300683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Мажиков Бакытжан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630202300138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Майлыханов Бакытбек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660101312891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Майлыханов Әділ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890407302419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Малгаждаров Уалихан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750519300235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Мамет Равила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770408403137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Мамырбеков Құмар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420515300314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Манап Бейсенбек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910817302424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Манасов Ерик Зарлыханович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740520302542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Маненова Бакытгуль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710111401750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Марденова Айгуль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680425400790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Масалиев Алмурат Айнухатович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760921302407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Мауытхан Толкын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560602399037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Мейірбаев Ербол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661130300145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Мейірбаева Битай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420808400125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Мешелов Талғат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680408300187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Медет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840914302476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 Бауыржан Жекенович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731210302528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Муратов Сунгат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850812302611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Мусаканов Алтай Калиевич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870301301986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Мұқадил Қайсар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850510001345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Мұқатай Ілес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920630351824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Мұқышев Қайролда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560201300335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Мұратова Қамажай Мұратқызы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950411450460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Мынгатов Алтынбек Ракшанович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731004300998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Мысақанов Ерлан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600716300127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Наурузбаева Әсем Бекмуханбетовна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890430400226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Наурызбаев Ермұханбет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630313300335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Нукенова Нұркамал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490213400341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Нукешов Досбол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830823301649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Нукешова Нургайни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420101417067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Нурахметова Айгул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500430400227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Нургапасов Нуржан Нургапасович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760714300990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Нуржапарова Роза Черияздановна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681121402083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Нұрахметов Ержан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690309402143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Нұрахметов Еркін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700129302202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Нұрахметов Қабиден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600101321384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Нұржапаров Балғынбек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721021300146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Нұржапаров Бекболат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770122300250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Нұрпейісов Болатхан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591107301866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Омаржанова Бакжамал Жакуповна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470225401242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Омаров Болат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630716300330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Оразаев Болат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671015300161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Орынбаева Лунара Асылбековна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810723402052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Ошакбаев Кадылбек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600207302384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Поштабаев Алмас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780107300326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Ракымбай Курметкан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740202303462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Рахпанова Нұрлыхан Сабикановна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570101408197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Рахымжанов Секен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491219300073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Рашев Төлеген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500603301141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Ромбаев Сәрсембай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590519301516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Рымбеков Әділет Рымбекұлы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940421351455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Рышпанов Қайрат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650213302584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Сәбитов Дүсіпхан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570206300453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Cакен Майра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860922403329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Сақтасынов Қанат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690410300209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Сабырбаев Жәнібек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560425300145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Сагидолдина Кулсун Аблхаировна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520330400217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Сағиев Кайрат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721108302006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Саден таутан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620401350888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Салкымбаев Еркеш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590815300309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Салкымбаев Серик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720505301053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Сарсембин Нурлан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650815300243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Сауқабаев Орынтай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570104300439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Сейсебаев Куаныш Зайнелұлы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901210300637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Секишев Медет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780921301551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Сәкенов Ерасыл Серікұлы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950416351261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Сіләмов Ерланбек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610923300471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Смағұлов Алихан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621203302517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Субатилов Мұрат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740802301864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Сулейменов Рауан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820522301423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Сулейменова Салтанат Кумаровна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830923401898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Сүлейменов Ержан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711107304144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Такенова Жамалхан Базылхановна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660101401466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Талапхан базархан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881111001225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Танашанов Бауржан Абилканович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690321302043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Танашанов Манарбек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640218300464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Таскынбек Умутбек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960113351256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Таупихов Данияр Сагидолдинович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881109301898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Таупихов Сагидолда Таупихович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510401301361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Таутан Даулетбек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810207350912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Темиржанов Галимардан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651124300160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Теміржанов Жанат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700210300216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Тәукенов Мерей Құатбекұлы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940314351572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Токатов Дархан Жумаханович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811202302482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Токтасынов Алихан Кайрканович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800402303493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Тоқтаров Бауыржан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630629301851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Толеухан Жулдыз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840326402159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Тонашанов Нұрбек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661210301356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Тонашанова Сауле Калымхановна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660101402266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Төлепберді Еркін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690119399038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Төлеуханов Бейбіт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690414300200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Тұрсынханов Мұратхан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721220302382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Урумбаев Қайрат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610508300227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Хайруллин Досбол Аянбаевич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670221300045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Хайруллин Куаныш Баянбаевич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720102300639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Хайруллин Нуржан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620920300150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Шакен Жумадил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750828399066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Шауен Кайрат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600809399022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Ықышев Сайлау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710103303101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Ынтықбаев Бақыт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630618300338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Ырысбек Калихан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750207399139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15251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Абайскому сельскому округу</w:t>
            </w:r>
            <w:r>
              <w:br/>
            </w:r>
            <w:r>
              <w:rPr>
                <w:rFonts w:ascii="Times New Roman"/>
                <w:b w:val="false"/>
                <w:i w:val="false"/>
                <w:color w:val="000000"/>
                <w:sz w:val="20"/>
              </w:rPr>
              <w:t>Курчумского района</w:t>
            </w:r>
            <w:r>
              <w:br/>
            </w:r>
            <w:r>
              <w:rPr>
                <w:rFonts w:ascii="Times New Roman"/>
                <w:b w:val="false"/>
                <w:i w:val="false"/>
                <w:color w:val="000000"/>
                <w:sz w:val="20"/>
              </w:rPr>
              <w:t>на 2026-2030 годы</w:t>
            </w:r>
          </w:p>
        </w:tc>
      </w:tr>
    </w:tbl>
    <w:p>
      <w:pPr>
        <w:spacing w:after="0"/>
        <w:ind w:left="0"/>
        <w:jc w:val="both"/>
      </w:pPr>
      <w:r>
        <w:rPr>
          <w:rFonts w:ascii="Times New Roman"/>
          <w:b w:val="false"/>
          <w:i w:val="false"/>
          <w:color w:val="000000"/>
          <w:sz w:val="28"/>
        </w:rPr>
        <w:t>
      Рекомендуемые схемы пастбищеоборота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участков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участок отдыха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участок отдыха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участок отдыха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участок отдыха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участок отдыха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Абайскому сельскому округу</w:t>
            </w:r>
            <w:r>
              <w:br/>
            </w:r>
            <w:r>
              <w:rPr>
                <w:rFonts w:ascii="Times New Roman"/>
                <w:b w:val="false"/>
                <w:i w:val="false"/>
                <w:color w:val="000000"/>
                <w:sz w:val="20"/>
              </w:rPr>
              <w:t>Курчумского района</w:t>
            </w:r>
            <w:r>
              <w:br/>
            </w:r>
            <w:r>
              <w:rPr>
                <w:rFonts w:ascii="Times New Roman"/>
                <w:b w:val="false"/>
                <w:i w:val="false"/>
                <w:color w:val="000000"/>
                <w:sz w:val="20"/>
              </w:rPr>
              <w:t>на 2026-2030 годы</w:t>
            </w:r>
          </w:p>
        </w:tc>
      </w:tr>
    </w:tbl>
    <w:p>
      <w:pPr>
        <w:spacing w:after="0"/>
        <w:ind w:left="0"/>
        <w:jc w:val="left"/>
      </w:pPr>
      <w:r>
        <w:rPr>
          <w:rFonts w:ascii="Times New Roman"/>
          <w:b/>
          <w:i w:val="false"/>
          <w:color w:val="000000"/>
        </w:rPr>
        <w:t xml:space="preserve"> Схема (карта) расположения пастбищ на территории по Абайскому сельскому округу Курчумского района в разрезе категорий земель</w:t>
      </w:r>
    </w:p>
    <w:p>
      <w:pPr>
        <w:spacing w:after="0"/>
        <w:ind w:left="0"/>
        <w:jc w:val="left"/>
      </w:pPr>
      <w:r>
        <w:br/>
      </w:r>
    </w:p>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Плану по 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w:t>
            </w:r>
            <w:r>
              <w:br/>
            </w:r>
            <w:r>
              <w:rPr>
                <w:rFonts w:ascii="Times New Roman"/>
                <w:b w:val="false"/>
                <w:i w:val="false"/>
                <w:color w:val="000000"/>
                <w:sz w:val="20"/>
              </w:rPr>
              <w:t>по Абайскому сельскому округу</w:t>
            </w:r>
            <w:r>
              <w:br/>
            </w:r>
            <w:r>
              <w:rPr>
                <w:rFonts w:ascii="Times New Roman"/>
                <w:b w:val="false"/>
                <w:i w:val="false"/>
                <w:color w:val="000000"/>
                <w:sz w:val="20"/>
              </w:rPr>
              <w:t>Курчумского района</w:t>
            </w:r>
            <w:r>
              <w:br/>
            </w:r>
            <w:r>
              <w:rPr>
                <w:rFonts w:ascii="Times New Roman"/>
                <w:b w:val="false"/>
                <w:i w:val="false"/>
                <w:color w:val="000000"/>
                <w:sz w:val="20"/>
              </w:rPr>
              <w:t>на 2026-2030 годы</w:t>
            </w:r>
          </w:p>
        </w:tc>
      </w:tr>
    </w:tbl>
    <w:p>
      <w:pPr>
        <w:spacing w:after="0"/>
        <w:ind w:left="0"/>
        <w:jc w:val="left"/>
      </w:pPr>
      <w:r>
        <w:rPr>
          <w:rFonts w:ascii="Times New Roman"/>
          <w:b/>
          <w:i w:val="false"/>
          <w:color w:val="000000"/>
        </w:rPr>
        <w:t xml:space="preserve"> Схема (карта) с обозначением пастбищ, предназначенных для нужд населения по выпасу сельскохозяйственных животных личного подворья, в том числе общественных пастбищ</w:t>
      </w:r>
    </w:p>
    <w:p>
      <w:pPr>
        <w:spacing w:after="0"/>
        <w:ind w:left="0"/>
        <w:jc w:val="left"/>
      </w:pPr>
      <w:r>
        <w:br/>
      </w:r>
    </w:p>
    <w:p>
      <w:pPr>
        <w:spacing w:after="0"/>
        <w:ind w:left="0"/>
        <w:jc w:val="both"/>
      </w:pPr>
      <w:r>
        <w:drawing>
          <wp:inline distT="0" distB="0" distL="0" distR="0">
            <wp:extent cx="7810500" cy="633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633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Абайскому сельскому округу</w:t>
            </w:r>
            <w:r>
              <w:br/>
            </w:r>
            <w:r>
              <w:rPr>
                <w:rFonts w:ascii="Times New Roman"/>
                <w:b w:val="false"/>
                <w:i w:val="false"/>
                <w:color w:val="000000"/>
                <w:sz w:val="20"/>
              </w:rPr>
              <w:t>Курчумского района</w:t>
            </w:r>
            <w:r>
              <w:br/>
            </w:r>
            <w:r>
              <w:rPr>
                <w:rFonts w:ascii="Times New Roman"/>
                <w:b w:val="false"/>
                <w:i w:val="false"/>
                <w:color w:val="000000"/>
                <w:sz w:val="20"/>
              </w:rPr>
              <w:t>на 2026-2030 годы</w:t>
            </w:r>
          </w:p>
        </w:tc>
      </w:tr>
    </w:tbl>
    <w:p>
      <w:pPr>
        <w:spacing w:after="0"/>
        <w:ind w:left="0"/>
        <w:jc w:val="left"/>
      </w:pPr>
      <w:r>
        <w:rPr>
          <w:rFonts w:ascii="Times New Roman"/>
          <w:b/>
          <w:i w:val="false"/>
          <w:color w:val="000000"/>
        </w:rPr>
        <w:t xml:space="preserve"> Схема (карта) с обозначением рекомендуемых схем пастбищеоборотов, на который указываются схемы пастбищеоборотов, рекомендуемые на основании геоботанического обследования пастбищ</w:t>
      </w:r>
    </w:p>
    <w:p>
      <w:pPr>
        <w:spacing w:after="0"/>
        <w:ind w:left="0"/>
        <w:jc w:val="left"/>
      </w:pPr>
      <w:r>
        <w:br/>
      </w:r>
    </w:p>
    <w:p>
      <w:pPr>
        <w:spacing w:after="0"/>
        <w:ind w:left="0"/>
        <w:jc w:val="both"/>
      </w:pPr>
      <w:r>
        <w:drawing>
          <wp:inline distT="0" distB="0" distL="0" distR="0">
            <wp:extent cx="7810500" cy="565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65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Плану по 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w:t>
            </w:r>
            <w:r>
              <w:br/>
            </w:r>
            <w:r>
              <w:rPr>
                <w:rFonts w:ascii="Times New Roman"/>
                <w:b w:val="false"/>
                <w:i w:val="false"/>
                <w:color w:val="000000"/>
                <w:sz w:val="20"/>
              </w:rPr>
              <w:t>по Абайскому сельскому округу</w:t>
            </w:r>
            <w:r>
              <w:br/>
            </w:r>
            <w:r>
              <w:rPr>
                <w:rFonts w:ascii="Times New Roman"/>
                <w:b w:val="false"/>
                <w:i w:val="false"/>
                <w:color w:val="000000"/>
                <w:sz w:val="20"/>
              </w:rPr>
              <w:t>Курчумского района</w:t>
            </w:r>
            <w:r>
              <w:br/>
            </w:r>
            <w:r>
              <w:rPr>
                <w:rFonts w:ascii="Times New Roman"/>
                <w:b w:val="false"/>
                <w:i w:val="false"/>
                <w:color w:val="000000"/>
                <w:sz w:val="20"/>
              </w:rPr>
              <w:t>на 2026-2030 годы</w:t>
            </w:r>
          </w:p>
        </w:tc>
      </w:tr>
    </w:tbl>
    <w:p>
      <w:pPr>
        <w:spacing w:after="0"/>
        <w:ind w:left="0"/>
        <w:jc w:val="left"/>
      </w:pPr>
      <w:r>
        <w:rPr>
          <w:rFonts w:ascii="Times New Roman"/>
          <w:b/>
          <w:i w:val="false"/>
          <w:color w:val="000000"/>
        </w:rPr>
        <w:t xml:space="preserve"> Схема (карта) с обозначением сервитутов для прогона сельскохозяйственных животных, скотопрогонных трасс и иных объектов пастбищной инфраструктуры, а также скотомогильников (биометрических ям)</w:t>
      </w:r>
    </w:p>
    <w:p>
      <w:pPr>
        <w:spacing w:after="0"/>
        <w:ind w:left="0"/>
        <w:jc w:val="left"/>
      </w:pPr>
      <w:r>
        <w:br/>
      </w:r>
    </w:p>
    <w:p>
      <w:pPr>
        <w:spacing w:after="0"/>
        <w:ind w:left="0"/>
        <w:jc w:val="both"/>
      </w:pPr>
      <w:r>
        <w:drawing>
          <wp:inline distT="0" distB="0" distL="0" distR="0">
            <wp:extent cx="7810500" cy="566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66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Абайскому сельскому округу</w:t>
            </w:r>
            <w:r>
              <w:br/>
            </w:r>
            <w:r>
              <w:rPr>
                <w:rFonts w:ascii="Times New Roman"/>
                <w:b w:val="false"/>
                <w:i w:val="false"/>
                <w:color w:val="000000"/>
                <w:sz w:val="20"/>
              </w:rPr>
              <w:t>Курчумского района</w:t>
            </w:r>
            <w:r>
              <w:br/>
            </w:r>
            <w:r>
              <w:rPr>
                <w:rFonts w:ascii="Times New Roman"/>
                <w:b w:val="false"/>
                <w:i w:val="false"/>
                <w:color w:val="000000"/>
                <w:sz w:val="20"/>
              </w:rPr>
              <w:t>на 2026-2030 годы</w:t>
            </w:r>
          </w:p>
        </w:tc>
      </w:tr>
    </w:tbl>
    <w:p>
      <w:pPr>
        <w:spacing w:after="0"/>
        <w:ind w:left="0"/>
        <w:jc w:val="left"/>
      </w:pPr>
      <w:r>
        <w:rPr>
          <w:rFonts w:ascii="Times New Roman"/>
          <w:b/>
          <w:i w:val="false"/>
          <w:color w:val="000000"/>
        </w:rPr>
        <w:t xml:space="preserve"> Схема (карта) с обозначением пастбищ, которые могут быть предоставлены в землепользование пастбищепользователям</w:t>
      </w:r>
    </w:p>
    <w:p>
      <w:pPr>
        <w:spacing w:after="0"/>
        <w:ind w:left="0"/>
        <w:jc w:val="left"/>
      </w:pPr>
      <w:r>
        <w:br/>
      </w:r>
    </w:p>
    <w:p>
      <w:pPr>
        <w:spacing w:after="0"/>
        <w:ind w:left="0"/>
        <w:jc w:val="both"/>
      </w:pPr>
      <w:r>
        <w:drawing>
          <wp:inline distT="0" distB="0" distL="0" distR="0">
            <wp:extent cx="7810500" cy="566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66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Плану по 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w:t>
            </w:r>
            <w:r>
              <w:br/>
            </w:r>
            <w:r>
              <w:rPr>
                <w:rFonts w:ascii="Times New Roman"/>
                <w:b w:val="false"/>
                <w:i w:val="false"/>
                <w:color w:val="000000"/>
                <w:sz w:val="20"/>
              </w:rPr>
              <w:t>по Абайскому сельскому округу</w:t>
            </w:r>
            <w:r>
              <w:br/>
            </w:r>
            <w:r>
              <w:rPr>
                <w:rFonts w:ascii="Times New Roman"/>
                <w:b w:val="false"/>
                <w:i w:val="false"/>
                <w:color w:val="000000"/>
                <w:sz w:val="20"/>
              </w:rPr>
              <w:t>Курчумского района</w:t>
            </w:r>
            <w:r>
              <w:br/>
            </w:r>
            <w:r>
              <w:rPr>
                <w:rFonts w:ascii="Times New Roman"/>
                <w:b w:val="false"/>
                <w:i w:val="false"/>
                <w:color w:val="000000"/>
                <w:sz w:val="20"/>
              </w:rPr>
              <w:t>на 2026-2030 годы</w:t>
            </w:r>
          </w:p>
        </w:tc>
      </w:tr>
    </w:tbl>
    <w:p>
      <w:pPr>
        <w:spacing w:after="0"/>
        <w:ind w:left="0"/>
        <w:jc w:val="left"/>
      </w:pPr>
      <w:r>
        <w:rPr>
          <w:rFonts w:ascii="Times New Roman"/>
          <w:b/>
          <w:i w:val="false"/>
          <w:color w:val="000000"/>
        </w:rPr>
        <w:t xml:space="preserve"> Схема доступа к водоисточникам (озерам, рекам, прудам, копаням, оросительным и обводнительным каналам, трубчатым и шахтным колодцам)</w:t>
      </w:r>
    </w:p>
    <w:p>
      <w:pPr>
        <w:spacing w:after="0"/>
        <w:ind w:left="0"/>
        <w:jc w:val="left"/>
      </w:pPr>
      <w:r>
        <w:br/>
      </w:r>
    </w:p>
    <w:p>
      <w:pPr>
        <w:spacing w:after="0"/>
        <w:ind w:left="0"/>
        <w:jc w:val="both"/>
      </w:pPr>
      <w:r>
        <w:drawing>
          <wp:inline distT="0" distB="0" distL="0" distR="0">
            <wp:extent cx="7810500" cy="565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65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Абайскому сельскому округу</w:t>
            </w:r>
            <w:r>
              <w:br/>
            </w:r>
            <w:r>
              <w:rPr>
                <w:rFonts w:ascii="Times New Roman"/>
                <w:b w:val="false"/>
                <w:i w:val="false"/>
                <w:color w:val="000000"/>
                <w:sz w:val="20"/>
              </w:rPr>
              <w:t>Курчумского района</w:t>
            </w:r>
            <w:r>
              <w:br/>
            </w:r>
            <w:r>
              <w:rPr>
                <w:rFonts w:ascii="Times New Roman"/>
                <w:b w:val="false"/>
                <w:i w:val="false"/>
                <w:color w:val="000000"/>
                <w:sz w:val="20"/>
              </w:rPr>
              <w:t>на 2026-2030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w:t>
      </w:r>
    </w:p>
    <w:p>
      <w:pPr>
        <w:spacing w:after="0"/>
        <w:ind w:left="0"/>
        <w:jc w:val="left"/>
      </w:pPr>
      <w:r>
        <w:br/>
      </w:r>
    </w:p>
    <w:p>
      <w:pPr>
        <w:spacing w:after="0"/>
        <w:ind w:left="0"/>
        <w:jc w:val="both"/>
      </w:pPr>
      <w:r>
        <w:drawing>
          <wp:inline distT="0" distB="0" distL="0" distR="0">
            <wp:extent cx="7810500" cy="565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65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m="http://schemas.openxmlformats.org/officeDocument/2006/math"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m="http://schemas.openxmlformats.org/officeDocument/2006/math"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