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2f70" w14:textId="4012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Сарыагашского районного акимата от 11 июля 2022 года № 224 "Об утверждении правил предоставления коммунальных услуг по Сарыагашскому району"</w:t>
      </w:r>
    </w:p>
    <w:p>
      <w:pPr>
        <w:spacing w:after="0"/>
        <w:ind w:left="0"/>
        <w:jc w:val="both"/>
      </w:pPr>
      <w:r>
        <w:rPr>
          <w:rFonts w:ascii="Times New Roman"/>
          <w:b w:val="false"/>
          <w:i w:val="false"/>
          <w:color w:val="000000"/>
          <w:sz w:val="28"/>
        </w:rPr>
        <w:t>Постановление акимата Сарыагашского района Туркестанской области от 20 января 2026 года № 12</w:t>
      </w:r>
    </w:p>
    <w:p>
      <w:pPr>
        <w:spacing w:after="0"/>
        <w:ind w:left="0"/>
        <w:jc w:val="both"/>
      </w:pPr>
      <w:bookmarkStart w:name="z1" w:id="0"/>
      <w:r>
        <w:rPr>
          <w:rFonts w:ascii="Times New Roman"/>
          <w:b w:val="false"/>
          <w:i w:val="false"/>
          <w:color w:val="000000"/>
          <w:sz w:val="28"/>
        </w:rPr>
        <w:t>
      "Об утверждении правил предоставления коммунальных услуг по Сарыагашскому району" Акимат Сарыагашского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Сарыагашского района от 11 июля 2022 года №224 "Об утверждении правил предоставления коммунальных услуг по Сарыагашскому району"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Сарыагашского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Сарыагашского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"20" января 2026 года</w:t>
            </w:r>
            <w:r>
              <w:br/>
            </w:r>
            <w:r>
              <w:rPr>
                <w:rFonts w:ascii="Times New Roman"/>
                <w:b w:val="false"/>
                <w:i w:val="false"/>
                <w:color w:val="000000"/>
                <w:sz w:val="20"/>
              </w:rPr>
              <w:t>№12</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по Сарыагашскому району 1. Общие положения</w:t>
      </w:r>
    </w:p>
    <w:bookmarkEnd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Сарыагашскому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приказа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под № 20542)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9-1)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13)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13-1)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16-1)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p>
      <w:pPr>
        <w:spacing w:after="0"/>
        <w:ind w:left="0"/>
        <w:jc w:val="both"/>
      </w:pPr>
      <w:r>
        <w:rPr>
          <w:rFonts w:ascii="Times New Roman"/>
          <w:b w:val="false"/>
          <w:i w:val="false"/>
          <w:color w:val="000000"/>
          <w:sz w:val="28"/>
        </w:rPr>
        <w:t>
      16-2)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xml:space="preserve">
      21) электроснабжение – деятельность по производству, передаче и продаже потребителям электрической энергии. </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p>
      <w:pPr>
        <w:spacing w:after="0"/>
        <w:ind w:left="0"/>
        <w:jc w:val="left"/>
      </w:pPr>
      <w:r>
        <w:rPr>
          <w:rFonts w:ascii="Times New Roman"/>
          <w:b/>
          <w:i w:val="false"/>
          <w:color w:val="000000"/>
        </w:rPr>
        <w:t xml:space="preserve"> Глава 4-1. Требования и порядок работы ЕРЦ.</w:t>
      </w:r>
    </w:p>
    <w:p>
      <w:pPr>
        <w:spacing w:after="0"/>
        <w:ind w:left="0"/>
        <w:jc w:val="both"/>
      </w:pPr>
      <w:r>
        <w:rPr>
          <w:rFonts w:ascii="Times New Roman"/>
          <w:b w:val="false"/>
          <w:i w:val="false"/>
          <w:color w:val="000000"/>
          <w:sz w:val="28"/>
        </w:rPr>
        <w:t>
      30-1.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p>
      <w:pPr>
        <w:spacing w:after="0"/>
        <w:ind w:left="0"/>
        <w:jc w:val="both"/>
      </w:pPr>
      <w:r>
        <w:rPr>
          <w:rFonts w:ascii="Times New Roman"/>
          <w:b w:val="false"/>
          <w:i w:val="false"/>
          <w:color w:val="000000"/>
          <w:sz w:val="28"/>
        </w:rPr>
        <w:t>
      30-2.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p>
      <w:pPr>
        <w:spacing w:after="0"/>
        <w:ind w:left="0"/>
        <w:jc w:val="both"/>
      </w:pPr>
      <w:r>
        <w:rPr>
          <w:rFonts w:ascii="Times New Roman"/>
          <w:b w:val="false"/>
          <w:i w:val="false"/>
          <w:color w:val="000000"/>
          <w:sz w:val="28"/>
        </w:rPr>
        <w:t>
      30-3.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p>
      <w:pPr>
        <w:spacing w:after="0"/>
        <w:ind w:left="0"/>
        <w:jc w:val="both"/>
      </w:pPr>
      <w:r>
        <w:rPr>
          <w:rFonts w:ascii="Times New Roman"/>
          <w:b w:val="false"/>
          <w:i w:val="false"/>
          <w:color w:val="000000"/>
          <w:sz w:val="28"/>
        </w:rPr>
        <w:t>
      30-4.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30-5. ЕРЦ осуществляет проверку достоверности сведений о расчетных счетах, представленных поставщиком.</w:t>
      </w:r>
    </w:p>
    <w:p>
      <w:pPr>
        <w:spacing w:after="0"/>
        <w:ind w:left="0"/>
        <w:jc w:val="both"/>
      </w:pPr>
      <w:r>
        <w:rPr>
          <w:rFonts w:ascii="Times New Roman"/>
          <w:b w:val="false"/>
          <w:i w:val="false"/>
          <w:color w:val="000000"/>
          <w:sz w:val="28"/>
        </w:rPr>
        <w:t>
      30-6.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p>
      <w:pPr>
        <w:spacing w:after="0"/>
        <w:ind w:left="0"/>
        <w:jc w:val="both"/>
      </w:pPr>
      <w:r>
        <w:rPr>
          <w:rFonts w:ascii="Times New Roman"/>
          <w:b w:val="false"/>
          <w:i w:val="false"/>
          <w:color w:val="000000"/>
          <w:sz w:val="28"/>
        </w:rPr>
        <w:t>
      30-7. ЕРЦ несет полную ответственность за соответствие информации, предоставленной Поставщиком и выставленным счетам.</w:t>
      </w:r>
    </w:p>
    <w:p>
      <w:pPr>
        <w:spacing w:after="0"/>
        <w:ind w:left="0"/>
        <w:jc w:val="both"/>
      </w:pPr>
      <w:r>
        <w:rPr>
          <w:rFonts w:ascii="Times New Roman"/>
          <w:b w:val="false"/>
          <w:i w:val="false"/>
          <w:color w:val="000000"/>
          <w:sz w:val="28"/>
        </w:rPr>
        <w:t>
      30-8.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p>
      <w:pPr>
        <w:spacing w:after="0"/>
        <w:ind w:left="0"/>
        <w:jc w:val="both"/>
      </w:pPr>
      <w:r>
        <w:rPr>
          <w:rFonts w:ascii="Times New Roman"/>
          <w:b w:val="false"/>
          <w:i w:val="false"/>
          <w:color w:val="000000"/>
          <w:sz w:val="28"/>
        </w:rPr>
        <w:t>
      30-9. В случае выявления несоответствий ЕРЦ инициирует:</w:t>
      </w:r>
    </w:p>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p>
      <w:pPr>
        <w:spacing w:after="0"/>
        <w:ind w:left="0"/>
        <w:jc w:val="both"/>
      </w:pPr>
      <w:r>
        <w:rPr>
          <w:rFonts w:ascii="Times New Roman"/>
          <w:b w:val="false"/>
          <w:i w:val="false"/>
          <w:color w:val="000000"/>
          <w:sz w:val="28"/>
        </w:rPr>
        <w:t>
      3) инициировать корректировку соответствующего счета.</w:t>
      </w:r>
    </w:p>
    <w:p>
      <w:pPr>
        <w:spacing w:after="0"/>
        <w:ind w:left="0"/>
        <w:jc w:val="both"/>
      </w:pPr>
      <w:r>
        <w:rPr>
          <w:rFonts w:ascii="Times New Roman"/>
          <w:b w:val="false"/>
          <w:i w:val="false"/>
          <w:color w:val="000000"/>
          <w:sz w:val="28"/>
        </w:rPr>
        <w:t>
      30-10.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p>
      <w:pPr>
        <w:spacing w:after="0"/>
        <w:ind w:left="0"/>
        <w:jc w:val="both"/>
      </w:pPr>
      <w:r>
        <w:rPr>
          <w:rFonts w:ascii="Times New Roman"/>
          <w:b w:val="false"/>
          <w:i w:val="false"/>
          <w:color w:val="000000"/>
          <w:sz w:val="28"/>
        </w:rPr>
        <w:t>
      30-11. Результаты всех проверок подлежат документальному оформлению и хранению в течение не менее трех лет с даты проведения;</w:t>
      </w:r>
    </w:p>
    <w:p>
      <w:pPr>
        <w:spacing w:after="0"/>
        <w:ind w:left="0"/>
        <w:jc w:val="both"/>
      </w:pPr>
      <w:r>
        <w:rPr>
          <w:rFonts w:ascii="Times New Roman"/>
          <w:b w:val="false"/>
          <w:i w:val="false"/>
          <w:color w:val="000000"/>
          <w:sz w:val="28"/>
        </w:rPr>
        <w:t>
      30-12. Требования к ЕРЦ:</w:t>
      </w:r>
    </w:p>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p>
      <w:pPr>
        <w:spacing w:after="0"/>
        <w:ind w:left="0"/>
        <w:jc w:val="both"/>
      </w:pPr>
      <w:r>
        <w:rPr>
          <w:rFonts w:ascii="Times New Roman"/>
          <w:b w:val="false"/>
          <w:i w:val="false"/>
          <w:color w:val="000000"/>
          <w:sz w:val="28"/>
        </w:rPr>
        <w:t>
      30-13. Функции ЕРЦ:</w:t>
      </w:r>
    </w:p>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p>
      <w:pPr>
        <w:spacing w:after="0"/>
        <w:ind w:left="0"/>
        <w:jc w:val="both"/>
      </w:pPr>
      <w:r>
        <w:rPr>
          <w:rFonts w:ascii="Times New Roman"/>
          <w:b w:val="false"/>
          <w:i w:val="false"/>
          <w:color w:val="000000"/>
          <w:sz w:val="28"/>
        </w:rPr>
        <w:t>
      30-14. Оценка результативности деятельности ЕРЦ:</w:t>
      </w:r>
    </w:p>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p>
      <w:pPr>
        <w:spacing w:after="0"/>
        <w:ind w:left="0"/>
        <w:jc w:val="both"/>
      </w:pPr>
      <w:r>
        <w:rPr>
          <w:rFonts w:ascii="Times New Roman"/>
          <w:b w:val="false"/>
          <w:i w:val="false"/>
          <w:color w:val="000000"/>
          <w:sz w:val="28"/>
        </w:rPr>
        <w:t>
      в) уровень безопасности данных и защиты персональных данных;</w:t>
      </w:r>
    </w:p>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предоставления коммунальных</w:t>
            </w:r>
            <w:r>
              <w:br/>
            </w:r>
            <w:r>
              <w:rPr>
                <w:rFonts w:ascii="Times New Roman"/>
                <w:b w:val="false"/>
                <w:i w:val="false"/>
                <w:color w:val="000000"/>
                <w:sz w:val="20"/>
              </w:rPr>
              <w:t>услуг по Сарыагашскому району</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w:t>
            </w:r>
          </w:p>
          <w:p>
            <w:pPr>
              <w:spacing w:after="20"/>
              <w:ind w:left="20"/>
              <w:jc w:val="both"/>
            </w:pPr>
            <w:r>
              <w:rPr>
                <w:rFonts w:ascii="Times New Roman"/>
                <w:b w:val="false"/>
                <w:i w:val="false"/>
                <w:color w:val="000000"/>
                <w:sz w:val="20"/>
              </w:rPr>
              <w:t>
Начислено за ______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