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2f70" w14:textId="4012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Сарыагашского районного акимата от 11 июля 2022 года № 224 "Об утверждении правил предоставления коммунальных услуг по Сарыагашскому району"</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20 января 2026 года № 12</w:t>
      </w:r>
    </w:p>
    <w:p>
      <w:pPr>
        <w:spacing w:after="0"/>
        <w:ind w:left="0"/>
        <w:jc w:val="both"/>
      </w:pPr>
      <w:bookmarkStart w:name="z1" w:id="0"/>
      <w:r>
        <w:rPr>
          <w:rFonts w:ascii="Times New Roman"/>
          <w:b w:val="false"/>
          <w:i w:val="false"/>
          <w:color w:val="000000"/>
          <w:sz w:val="28"/>
        </w:rPr>
        <w:t>
      "Об утверждении правил предоставления коммунальных услуг по Сарыагашскому району" Акимат Сарыагашского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Сарыагашского района от 11 июля 2022 года №224 "Об утверждении правил предоставления коммунальных услуг по Сарыагашскому району"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Сарыагашского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Сарыагашского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"20" января 2026 года</w:t>
            </w:r>
            <w:r>
              <w:br/>
            </w:r>
            <w:r>
              <w:rPr>
                <w:rFonts w:ascii="Times New Roman"/>
                <w:b w:val="false"/>
                <w:i w:val="false"/>
                <w:color w:val="000000"/>
                <w:sz w:val="20"/>
              </w:rPr>
              <w:t>№12</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по Сарыагашскому району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Сарыагашскому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приказа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13-1)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xml:space="preserve">
      21) электроснабжение – деятельность по производству, передаче и продаже потребителям электрической энергии. </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30-9.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30-12.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30-13.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30-14.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коммунальных</w:t>
            </w:r>
            <w:r>
              <w:br/>
            </w:r>
            <w:r>
              <w:rPr>
                <w:rFonts w:ascii="Times New Roman"/>
                <w:b w:val="false"/>
                <w:i w:val="false"/>
                <w:color w:val="000000"/>
                <w:sz w:val="20"/>
              </w:rPr>
              <w:t>услуг по Сарыагашскому району</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p>
          <w:p>
            <w:pPr>
              <w:spacing w:after="20"/>
              <w:ind w:left="20"/>
              <w:jc w:val="both"/>
            </w:pPr>
            <w:r>
              <w:rPr>
                <w:rFonts w:ascii="Times New Roman"/>
                <w:b w:val="false"/>
                <w:i w:val="false"/>
                <w:color w:val="000000"/>
                <w:sz w:val="20"/>
              </w:rPr>
              <w:t>
Начислено за ______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