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3a40" w14:textId="1b83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8 декабря 2025 года № 834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пунктом 2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Сайрамского района ПОСТАНАВЛЯЕТ: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 Правила предоставления коммунальных услуг в Сайрамском районе.</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Сайрамского района от 10 октября 2022 года №360 "Об утверждении Правил предоставления коммунальных услуг".</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района курирующего данную сферу.</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8 декабря 2025 года № 834</w:t>
            </w:r>
          </w:p>
        </w:tc>
      </w:tr>
    </w:tbl>
    <w:p>
      <w:pPr>
        <w:spacing w:after="0"/>
        <w:ind w:left="0"/>
        <w:jc w:val="left"/>
      </w:pPr>
      <w:r>
        <w:rPr>
          <w:rFonts w:ascii="Times New Roman"/>
          <w:b/>
          <w:i w:val="false"/>
          <w:color w:val="000000"/>
        </w:rPr>
        <w:t xml:space="preserve"> Правила предоставления коммунальных услуг по Сайрамскому району Глава 1. Общие положения</w:t>
      </w:r>
    </w:p>
    <w:p>
      <w:pPr>
        <w:spacing w:after="0"/>
        <w:ind w:left="0"/>
        <w:jc w:val="left"/>
      </w:pPr>
      <w:r>
        <w:rPr>
          <w:rFonts w:ascii="Times New Roman"/>
          <w:b w:val="false"/>
          <w:i w:val="false"/>
          <w:color w:val="000000"/>
          <w:sz w:val="28"/>
        </w:rPr>
        <w:t>      1. Настоящие Типовые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статьи 10-2 Закона Республики Казахстан "О жилищных отношениях" и устанавливают порядок, предоставления и оплаты коммунальных услуг.</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r>
        <w:br/>
      </w: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r>
        <w:br/>
      </w: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r>
        <w:br/>
      </w: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r>
        <w:br/>
      </w: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r>
        <w:br/>
      </w: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r>
        <w:br/>
      </w: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r>
        <w:br/>
      </w: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r>
        <w:br/>
      </w: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r>
        <w:br/>
      </w: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r>
        <w:br/>
      </w: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r>
        <w:br/>
      </w: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r>
        <w:br/>
      </w: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r>
        <w:br/>
      </w: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r>
        <w:br/>
      </w: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r>
        <w:br/>
      </w: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r>
        <w:br/>
      </w: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r>
        <w:br/>
      </w: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r>
        <w:br/>
      </w: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r>
        <w:br/>
      </w: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r>
        <w:br/>
      </w:r>
      <w:r>
        <w:rPr>
          <w:rFonts w:ascii="Times New Roman"/>
          <w:b w:val="false"/>
          <w:i w:val="false"/>
          <w:color w:val="000000"/>
          <w:sz w:val="28"/>
        </w:rPr>
        <w:t>
      17) твердые бытовые отходы – коммунальные отходы в твердой форме;</w:t>
      </w:r>
      <w:r>
        <w:br/>
      </w: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r>
        <w:br/>
      </w: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r>
        <w:br/>
      </w: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r>
        <w:br/>
      </w: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r>
        <w:br/>
      </w: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r>
        <w:br/>
      </w: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r>
        <w:br/>
      </w: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r>
        <w:br/>
      </w: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left"/>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r>
        <w:br/>
      </w: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r>
        <w:br/>
      </w: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r>
        <w:br/>
      </w: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r>
        <w:br/>
      </w: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r>
        <w:br/>
      </w: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r>
        <w:br/>
      </w: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r>
        <w:br/>
      </w: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r>
        <w:br/>
      </w: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r>
        <w:br/>
      </w:r>
      <w:r>
        <w:rPr>
          <w:rFonts w:ascii="Times New Roman"/>
          <w:b w:val="false"/>
          <w:i w:val="false"/>
          <w:color w:val="000000"/>
          <w:sz w:val="28"/>
        </w:rPr>
        <w:t>
      6. Потребительские свойства и режим предоставления услуг:</w:t>
      </w:r>
      <w:r>
        <w:br/>
      </w: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r>
        <w:br/>
      </w: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r>
        <w:br/>
      </w: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r>
        <w:br/>
      </w: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r>
        <w:br/>
      </w: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r>
        <w:br/>
      </w: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r>
        <w:br/>
      </w: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left"/>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r>
        <w:br/>
      </w: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r>
        <w:br/>
      </w: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r>
        <w:br/>
      </w: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r>
        <w:br/>
      </w: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r>
        <w:br/>
      </w: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r>
        <w:br/>
      </w: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r>
        <w:br/>
      </w: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r>
        <w:br/>
      </w: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пункта 1 статьи 6 Закона Республики Казахстан "О местном государственном управлении и самоуправлении в Республике Казахстан".</w:t>
      </w:r>
      <w:r>
        <w:br/>
      </w: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r>
        <w:br/>
      </w: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r>
        <w:br/>
      </w: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r>
        <w:br/>
      </w:r>
      <w:r>
        <w:rPr>
          <w:rFonts w:ascii="Times New Roman"/>
          <w:b w:val="false"/>
          <w:i w:val="false"/>
          <w:color w:val="000000"/>
          <w:sz w:val="28"/>
        </w:rPr>
        <w:t>
      Границей раздела эксплуатационной ответственности на объектах кондоминиума являются:</w:t>
      </w:r>
      <w:r>
        <w:br/>
      </w:r>
      <w:r>
        <w:rPr>
          <w:rFonts w:ascii="Times New Roman"/>
          <w:b w:val="false"/>
          <w:i w:val="false"/>
          <w:color w:val="000000"/>
          <w:sz w:val="28"/>
        </w:rPr>
        <w:t>
      по водоснабжению – разделительный фланец первой задвижки на вводе водопровода в здании;</w:t>
      </w:r>
      <w:r>
        <w:br/>
      </w:r>
      <w:r>
        <w:rPr>
          <w:rFonts w:ascii="Times New Roman"/>
          <w:b w:val="false"/>
          <w:i w:val="false"/>
          <w:color w:val="000000"/>
          <w:sz w:val="28"/>
        </w:rPr>
        <w:t>
      по водоотведению – колодец в месте присоединения к сетям водоотведения населенного пункта;</w:t>
      </w:r>
      <w:r>
        <w:br/>
      </w: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r>
        <w:br/>
      </w: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r>
        <w:br/>
      </w: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r>
        <w:br/>
      </w: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r>
        <w:br/>
      </w: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r>
        <w:br/>
      </w: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r>
        <w:br/>
      </w: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r>
        <w:br/>
      </w:r>
      <w:r>
        <w:rPr>
          <w:rFonts w:ascii="Times New Roman"/>
          <w:b w:val="false"/>
          <w:i w:val="false"/>
          <w:color w:val="000000"/>
          <w:sz w:val="28"/>
        </w:rPr>
        <w:t>
      20. Потребитель:</w:t>
      </w:r>
      <w:r>
        <w:br/>
      </w: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r>
        <w:br/>
      </w: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r>
        <w:br/>
      </w: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r>
        <w:br/>
      </w: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r>
        <w:br/>
      </w: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r>
        <w:br/>
      </w: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r>
        <w:br/>
      </w: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r>
        <w:br/>
      </w: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r>
        <w:br/>
      </w:r>
      <w:r>
        <w:rPr>
          <w:rFonts w:ascii="Times New Roman"/>
          <w:b w:val="false"/>
          <w:i w:val="false"/>
          <w:color w:val="000000"/>
          <w:sz w:val="28"/>
        </w:rPr>
        <w:t>
      9) получает электронную версию единого платежного документа из "Единой платформы ЖКХ".</w:t>
      </w:r>
      <w:r>
        <w:br/>
      </w: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r>
        <w:br/>
      </w:r>
      <w:r>
        <w:rPr>
          <w:rFonts w:ascii="Times New Roman"/>
          <w:b w:val="false"/>
          <w:i w:val="false"/>
          <w:color w:val="000000"/>
          <w:sz w:val="28"/>
        </w:rPr>
        <w:t>
      21. Поставщик:</w:t>
      </w:r>
      <w:r>
        <w:br/>
      </w:r>
      <w:r>
        <w:rPr>
          <w:rFonts w:ascii="Times New Roman"/>
          <w:b w:val="false"/>
          <w:i w:val="false"/>
          <w:color w:val="000000"/>
          <w:sz w:val="28"/>
        </w:rPr>
        <w:t>
      1) осуществляет контроль потребления и оплаты за предоставленные коммунальные услуги;</w:t>
      </w:r>
      <w:r>
        <w:br/>
      </w: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r>
        <w:br/>
      </w: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r>
        <w:br/>
      </w: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r>
        <w:br/>
      </w: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r>
        <w:br/>
      </w: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r>
        <w:br/>
      </w: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r>
        <w:br/>
      </w: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r>
        <w:br/>
      </w: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r>
        <w:br/>
      </w: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left"/>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r>
        <w:br/>
      </w: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r>
        <w:br/>
      </w: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r>
        <w:br/>
      </w: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r>
        <w:br/>
      </w: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r>
        <w:br/>
      </w: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r>
        <w:br/>
      </w: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r>
        <w:br/>
      </w: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r>
        <w:br/>
      </w: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пункта 1 статьи 27 Закона Республики Казахстан "О местном государственном управлении и самоуправлении в Республике Казахстан".</w:t>
      </w:r>
      <w:r>
        <w:br/>
      </w: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r>
        <w:br/>
      </w: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r>
        <w:br/>
      </w:r>
      <w:r>
        <w:rPr>
          <w:rFonts w:ascii="Times New Roman"/>
          <w:b w:val="false"/>
          <w:i w:val="false"/>
          <w:color w:val="000000"/>
          <w:sz w:val="28"/>
        </w:rPr>
        <w:t>
      30.Вопрос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r>
        <w:br/>
      </w: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4-1. Требования и порядок работы ЕРЦ.</w:t>
      </w:r>
    </w:p>
    <w:p>
      <w:pPr>
        <w:spacing w:after="0"/>
        <w:ind w:left="0"/>
        <w:jc w:val="left"/>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r>
        <w:br/>
      </w: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r>
        <w:br/>
      </w: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r>
        <w:br/>
      </w: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r>
        <w:br/>
      </w: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r>
        <w:br/>
      </w: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r>
        <w:br/>
      </w: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r>
        <w:br/>
      </w: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r>
        <w:br/>
      </w:r>
      <w:r>
        <w:rPr>
          <w:rFonts w:ascii="Times New Roman"/>
          <w:b w:val="false"/>
          <w:i w:val="false"/>
          <w:color w:val="000000"/>
          <w:sz w:val="28"/>
        </w:rPr>
        <w:t>
      31-9. В случае выявления несоответствий ЕРЦ инициирует:</w:t>
      </w:r>
      <w:r>
        <w:br/>
      </w:r>
      <w:r>
        <w:rPr>
          <w:rFonts w:ascii="Times New Roman"/>
          <w:b w:val="false"/>
          <w:i w:val="false"/>
          <w:color w:val="000000"/>
          <w:sz w:val="28"/>
        </w:rPr>
        <w:t>
      1) в течение трех рабочих дней с момента выявления зафиксировать нарушения;</w:t>
      </w:r>
      <w:r>
        <w:br/>
      </w: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r>
        <w:br/>
      </w:r>
      <w:r>
        <w:rPr>
          <w:rFonts w:ascii="Times New Roman"/>
          <w:b w:val="false"/>
          <w:i w:val="false"/>
          <w:color w:val="000000"/>
          <w:sz w:val="28"/>
        </w:rPr>
        <w:t>
      3) инициировать корректировку соответствующего счета.</w:t>
      </w:r>
      <w:r>
        <w:br/>
      </w: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r>
        <w:br/>
      </w:r>
      <w:r>
        <w:rPr>
          <w:rFonts w:ascii="Times New Roman"/>
          <w:b w:val="false"/>
          <w:i w:val="false"/>
          <w:color w:val="000000"/>
          <w:sz w:val="28"/>
        </w:rPr>
        <w:t>
      1) провести пересмотр внутренней процедуры выставления счетов;</w:t>
      </w:r>
      <w:r>
        <w:br/>
      </w:r>
      <w:r>
        <w:rPr>
          <w:rFonts w:ascii="Times New Roman"/>
          <w:b w:val="false"/>
          <w:i w:val="false"/>
          <w:color w:val="000000"/>
          <w:sz w:val="28"/>
        </w:rPr>
        <w:t>
      2) инициировать пересмотр соответствующих внутренних требований;</w:t>
      </w:r>
      <w:r>
        <w:br/>
      </w: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r>
        <w:br/>
      </w: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r>
        <w:br/>
      </w:r>
      <w:r>
        <w:rPr>
          <w:rFonts w:ascii="Times New Roman"/>
          <w:b w:val="false"/>
          <w:i w:val="false"/>
          <w:color w:val="000000"/>
          <w:sz w:val="28"/>
        </w:rPr>
        <w:t>
      31-12. Требования к ЕРЦ:</w:t>
      </w:r>
      <w:r>
        <w:br/>
      </w:r>
      <w:r>
        <w:rPr>
          <w:rFonts w:ascii="Times New Roman"/>
          <w:b w:val="false"/>
          <w:i w:val="false"/>
          <w:color w:val="000000"/>
          <w:sz w:val="28"/>
        </w:rPr>
        <w:t>
      1) регистрация в соответствии с законодательством Республики</w:t>
      </w:r>
      <w:r>
        <w:br/>
      </w:r>
      <w:r>
        <w:rPr>
          <w:rFonts w:ascii="Times New Roman"/>
          <w:b w:val="false"/>
          <w:i w:val="false"/>
          <w:color w:val="000000"/>
          <w:sz w:val="28"/>
        </w:rPr>
        <w:t>
      Казахстан в качестве юридического лица;</w:t>
      </w:r>
      <w:r>
        <w:br/>
      </w: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r>
        <w:br/>
      </w:r>
      <w:r>
        <w:rPr>
          <w:rFonts w:ascii="Times New Roman"/>
          <w:b w:val="false"/>
          <w:i w:val="false"/>
          <w:color w:val="000000"/>
          <w:sz w:val="28"/>
        </w:rPr>
        <w:t>
      3) соблюдение единых требований в области информационно-</w:t>
      </w:r>
      <w:r>
        <w:br/>
      </w: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r>
        <w:br/>
      </w:r>
      <w:r>
        <w:rPr>
          <w:rFonts w:ascii="Times New Roman"/>
          <w:b w:val="false"/>
          <w:i w:val="false"/>
          <w:color w:val="000000"/>
          <w:sz w:val="28"/>
        </w:rPr>
        <w:t>
      4) наличие заключенных соглашений с не менее чем двумя банками</w:t>
      </w:r>
      <w:r>
        <w:br/>
      </w:r>
      <w:r>
        <w:rPr>
          <w:rFonts w:ascii="Times New Roman"/>
          <w:b w:val="false"/>
          <w:i w:val="false"/>
          <w:color w:val="000000"/>
          <w:sz w:val="28"/>
        </w:rPr>
        <w:t>
       второго уровня;</w:t>
      </w:r>
      <w:r>
        <w:br/>
      </w:r>
      <w:r>
        <w:rPr>
          <w:rFonts w:ascii="Times New Roman"/>
          <w:b w:val="false"/>
          <w:i w:val="false"/>
          <w:color w:val="000000"/>
          <w:sz w:val="28"/>
        </w:rPr>
        <w:t>
      5) наличие механизмов защиты персональных данных потребителей.</w:t>
      </w:r>
      <w:r>
        <w:br/>
      </w:r>
      <w:r>
        <w:rPr>
          <w:rFonts w:ascii="Times New Roman"/>
          <w:b w:val="false"/>
          <w:i w:val="false"/>
          <w:color w:val="000000"/>
          <w:sz w:val="28"/>
        </w:rPr>
        <w:t>
      31-13. Функции ЕРЦ:</w:t>
      </w:r>
      <w:r>
        <w:br/>
      </w: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r>
        <w:br/>
      </w: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r>
        <w:br/>
      </w:r>
      <w:r>
        <w:rPr>
          <w:rFonts w:ascii="Times New Roman"/>
          <w:b w:val="false"/>
          <w:i w:val="false"/>
          <w:color w:val="000000"/>
          <w:sz w:val="28"/>
        </w:rPr>
        <w:t>
      3) публикация на официальных сайтах и информационных ресурсах ЕРЦ:</w:t>
      </w:r>
      <w:r>
        <w:br/>
      </w:r>
      <w:r>
        <w:rPr>
          <w:rFonts w:ascii="Times New Roman"/>
          <w:b w:val="false"/>
          <w:i w:val="false"/>
          <w:color w:val="000000"/>
          <w:sz w:val="28"/>
        </w:rPr>
        <w:t>
      а) сведений об организационной структуре и составе органов управления;</w:t>
      </w:r>
      <w:r>
        <w:br/>
      </w:r>
      <w:r>
        <w:rPr>
          <w:rFonts w:ascii="Times New Roman"/>
          <w:b w:val="false"/>
          <w:i w:val="false"/>
          <w:color w:val="000000"/>
          <w:sz w:val="28"/>
        </w:rPr>
        <w:t>
      б) перечня используемых технологических решений и информационных систем;</w:t>
      </w:r>
      <w:r>
        <w:br/>
      </w:r>
      <w:r>
        <w:rPr>
          <w:rFonts w:ascii="Times New Roman"/>
          <w:b w:val="false"/>
          <w:i w:val="false"/>
          <w:color w:val="000000"/>
          <w:sz w:val="28"/>
        </w:rPr>
        <w:t>
      в) принятие мер по обеспечению безопасности данных и отказоустойчивости системы;</w:t>
      </w:r>
      <w:r>
        <w:br/>
      </w: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r>
        <w:br/>
      </w: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r>
        <w:br/>
      </w:r>
      <w:r>
        <w:rPr>
          <w:rFonts w:ascii="Times New Roman"/>
          <w:b w:val="false"/>
          <w:i w:val="false"/>
          <w:color w:val="000000"/>
          <w:sz w:val="28"/>
        </w:rPr>
        <w:t>
      31-14. Оценка результативности деятельности ЕРЦ:</w:t>
      </w:r>
      <w:r>
        <w:br/>
      </w: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r>
        <w:br/>
      </w:r>
      <w:r>
        <w:rPr>
          <w:rFonts w:ascii="Times New Roman"/>
          <w:b w:val="false"/>
          <w:i w:val="false"/>
          <w:color w:val="000000"/>
          <w:sz w:val="28"/>
        </w:rPr>
        <w:t>
      2) оценка результативности может включать, но не ограничиваться, следующими аспектами:</w:t>
      </w:r>
      <w:r>
        <w:br/>
      </w:r>
      <w:r>
        <w:rPr>
          <w:rFonts w:ascii="Times New Roman"/>
          <w:b w:val="false"/>
          <w:i w:val="false"/>
          <w:color w:val="000000"/>
          <w:sz w:val="28"/>
        </w:rPr>
        <w:t>
      а) качество обслуживания и время отклика на запросы и жалобы потребителей;</w:t>
      </w:r>
      <w:r>
        <w:br/>
      </w:r>
      <w:r>
        <w:rPr>
          <w:rFonts w:ascii="Times New Roman"/>
          <w:b w:val="false"/>
          <w:i w:val="false"/>
          <w:color w:val="000000"/>
          <w:sz w:val="28"/>
        </w:rPr>
        <w:t>
      б) процент корректности и своевременности выставленных счетов;</w:t>
      </w:r>
      <w:r>
        <w:br/>
      </w:r>
      <w:r>
        <w:rPr>
          <w:rFonts w:ascii="Times New Roman"/>
          <w:b w:val="false"/>
          <w:i w:val="false"/>
          <w:color w:val="000000"/>
          <w:sz w:val="28"/>
        </w:rPr>
        <w:t>
      в) уровень безопасности данных и защиты персональных данных;</w:t>
      </w:r>
      <w:r>
        <w:br/>
      </w:r>
      <w:r>
        <w:rPr>
          <w:rFonts w:ascii="Times New Roman"/>
          <w:b w:val="false"/>
          <w:i w:val="false"/>
          <w:color w:val="000000"/>
          <w:sz w:val="28"/>
        </w:rPr>
        <w:t>
      г) уровень удовлетворенности потребителей качеством предоставляемых услуг;</w:t>
      </w:r>
      <w:r>
        <w:br/>
      </w: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r>
        <w:br/>
      </w: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r>
        <w:br/>
      </w: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r>
        <w:br/>
      </w: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r>
        <w:br/>
      </w: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r>
        <w:br/>
      </w: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left"/>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r>
        <w:br/>
      </w: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r>
        <w:br/>
      </w: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r>
        <w:br/>
      </w: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r>
        <w:br/>
      </w: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r>
        <w:br/>
      </w:r>
      <w:r>
        <w:rPr>
          <w:rFonts w:ascii="Times New Roman"/>
          <w:b w:val="false"/>
          <w:i w:val="false"/>
          <w:color w:val="000000"/>
          <w:sz w:val="28"/>
        </w:rPr>
        <w:t>
      1) время начала отказа в коммунальных услугах (отключения) или некачественной ее поставки;</w:t>
      </w:r>
      <w:r>
        <w:br/>
      </w:r>
      <w:r>
        <w:rPr>
          <w:rFonts w:ascii="Times New Roman"/>
          <w:b w:val="false"/>
          <w:i w:val="false"/>
          <w:color w:val="000000"/>
          <w:sz w:val="28"/>
        </w:rPr>
        <w:t>
      2) характер ухудшения качества коммунальных услуг;</w:t>
      </w:r>
      <w:r>
        <w:br/>
      </w:r>
      <w:r>
        <w:rPr>
          <w:rFonts w:ascii="Times New Roman"/>
          <w:b w:val="false"/>
          <w:i w:val="false"/>
          <w:color w:val="000000"/>
          <w:sz w:val="28"/>
        </w:rPr>
        <w:t>
      3) время подачи заявки и ее регистрационный номер (по журналу поставщика);</w:t>
      </w:r>
      <w:r>
        <w:br/>
      </w:r>
      <w:r>
        <w:rPr>
          <w:rFonts w:ascii="Times New Roman"/>
          <w:b w:val="false"/>
          <w:i w:val="false"/>
          <w:color w:val="000000"/>
          <w:sz w:val="28"/>
        </w:rPr>
        <w:t>
      4) время восстановления коммунальных услуг (нормализации ее качества);</w:t>
      </w:r>
      <w:r>
        <w:br/>
      </w:r>
      <w:r>
        <w:rPr>
          <w:rFonts w:ascii="Times New Roman"/>
          <w:b w:val="false"/>
          <w:i w:val="false"/>
          <w:color w:val="000000"/>
          <w:sz w:val="28"/>
        </w:rPr>
        <w:t>
      5) период отсутствия (ухудшения качества) коммунальных услуг.</w:t>
      </w:r>
      <w:r>
        <w:br/>
      </w: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r>
        <w:br/>
      </w: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r>
        <w:br/>
      </w:r>
      <w:r>
        <w:rPr>
          <w:rFonts w:ascii="Times New Roman"/>
          <w:b w:val="false"/>
          <w:i w:val="false"/>
          <w:color w:val="000000"/>
          <w:sz w:val="28"/>
        </w:rPr>
        <w:t>
      В случае не урегулирования спора по согласованию сторон, потребитель обращается в суд.</w:t>
      </w:r>
      <w:r>
        <w:br/>
      </w: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r>
        <w:br/>
      </w: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r>
        <w:br/>
      </w: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r>
        <w:br/>
      </w: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r>
        <w:br/>
      </w: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r>
        <w:br/>
      </w: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Заключительные положения</w:t>
      </w:r>
    </w:p>
    <w:p>
      <w:pPr>
        <w:spacing w:after="0"/>
        <w:ind w:left="0"/>
        <w:jc w:val="left"/>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r>
        <w:br/>
      </w: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r>
        <w:br/>
      </w: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