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3dc6" w14:textId="04d3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23 декабря 2025 года № 41/225 VІІІ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10 марта 2026 года № 44/259-VІІІ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Арыс "О городском бюджете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41/225-VІІІ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Арыс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9 706 010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6 799 653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42 567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1 677 326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1 186 464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9 706 207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8 962 тысяч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25 950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16 988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-9 159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9 159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25 950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16 988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Общие поступления социального налога на 2026 год: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по социальному налогу 49,8 процентов в городской бюджет, 50,2 процентов в областной бюджет.".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41/225-VIII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44/259-VIII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41/225-VIII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