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3190" w14:textId="451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5 января 2026 года № 35-2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 Настоящее решение вводится в действие с 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- Кодекс)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