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cf72" w14:textId="2c7c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отчетности, необходимой государственным органам, на интернет-ресурсе Фонда национального благосостояния, а также перечня, форм и периодичности размещения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17 июля 2026 года № 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Фонде национального благосостояния"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отчетности, необходимой государственным органам, на интернет-ресурсе Фонда национального благосостояния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 и периодичность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отчетности, необходимой государственным органам, на интернет-ресурсе Фонда национального благосостояния согласно приложению 2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формы отчетности</w:t>
      </w:r>
      <w:r>
        <w:rPr>
          <w:rFonts w:ascii="Times New Roman"/>
          <w:b w:val="false"/>
          <w:i w:val="false"/>
          <w:color w:val="000000"/>
          <w:sz w:val="28"/>
        </w:rPr>
        <w:t>, необходимой государственным органам, размещаемой на интернет-ресурсе Фонда национального благосостояния согласно приложению 3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и подлежит официальному опубликованию.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отчетности, необходимой государственным органам, на интернет-ресурсе Фонда национального благосостояния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отчетности, необходимой государственным органам, на интернет-ресурсе Фонда национального благосостояния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Фонде национального благосостояния" и определяют порядок размещения Фондом национального благосостояния (далее – Фонд) и организациями, входящими в группу Фонда (далее – организации), отчетности, необходимой государственным органам, на интернет-ресурсе Фонда.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- совокупность сведений о результатах и условиях работы Фонда и/или организации за определенный период времени, составляемых на основании текущей информации о деятельности объекта отчетности, для предоставления которых Фонду и/или организации требуются сбор, обработка и/или систематизация имеющейся информации, ее обновление и осуществление иных подобных действий.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 используются в Правилах в соответствии с законами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Отчетность, предусмотренная настоящими Правилами, предоставляется посредством размещения соответствующей информации согласно перечню, формам и периодичности, утвержденными настоящим приказом, на интернет-ресурсе Фонда и предоставления доступа государственным органам.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Отчетность, не предусмотренная перечнем, утвержденным настоящим приказом, по запросам государственных органов Фондом и организациями не предоставляется.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и (или) организации, в случаях, прямо предусмотренных законами Республики Казахстан, актами Президента Республики Казахстан, Правительства Республики Казахстан, предоставляют информацию в порядке, предусмотренном указанными нормативными правовыми актами.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также представляется во исполнение поручений Президента Республики Казахстан государственным органам при условии, что Фонд и (или) организации являются исполнителями или соисполнителями по данным поручениям, а также во исполнение соответствующих пунктов, закрепленных за Фондом и (или) организациями приказами Администрации Президента Республики Казахстан либо по ее запросам.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информация представляется без размещения на интернет-ресурсе Фонда.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пакетов акций (долей участия) организаций в доверительное управление государственным органам, отчетность, касающаяся деятельности таких организаций, представляется им Фондом и организациями в соответствии с условиями договора доверительного управления.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Фонд обеспечивает предоставление достоверной и своевременной информации, необходимой государственным органам, на интернет-ресурсе Фонда в порядке, предусмотренном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отчетности на интернет-ресурсе Фонда национального благосостояния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Отчетность, размещаемая на интернет-ресурсе Фонда в соответствии с настоящими Правилами, включает электронные цифровые ресурсы, содержащие информацию о деятельности Фонда и (или) организаций, необходимую государственным органам, согласно перечню, формам и периодичности, утвержденными настоящим приказом.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Цифровые ресурсы, размещаемые на интернет-ресурсе Фонда в соответствии с настоящими Правилами, являются информацией ограниченного доступа и относятся к категории конфиденциальных цифровых ресурсов.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Фонд принимает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правовые, организационные и технические (программно-технические) меры защиты цифровых ресурсов ограниченного доступа, размещенных на интернет-ресурсе Фонда.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интернет-ресурсе Фонда не допускается размещение цифровых ресурсов, отнесенных к государственным секретам в соответствии с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Отчетность размещается на интернет-ресурсе Фонда на казахском и русском языках и содержит: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достоверную информацию, соответствующую действительному состоянию дел субъекта отчетности в соответствующей области отчетности;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актуальную информацию.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Актуальность предоставляемой информации обеспечивается размещением (обновлением) отчетности на интернет–ресурсе Фонда в соответствии с периодичностью, утвержденной настоящим приказом.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Интернет-ресурс Фонда содержит сведения о дате и времени размещения (обновления) отчетности. При этом, на интернет-ресурсе Фонда сохраняется отчетность, размещенная ранее (до обновления).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Архивные данные отчетности не подлежат удалению с интернет-ресурса Фонда (за исключением допущенных технических ошибок) в течение 5 (пяти) лет.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Отчетность размещается на интернет-ресурсе Фонда в формате Excel и других общедоступных форматах.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занимающая объем более двадцати пяти страниц, может быть размещена на интернет-ресурсе Фонда в архивированном виде с использованием формата ZIP и других.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периодичность размещения отчетности, необходимой государственным органам, на интернет-ресурсе Фонда национального благосостояния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отчетности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размещения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орган, имеющий доступ к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заимствований и график погашения (структура гарантий) (форма 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25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МНЭ, МФ, ГП (по согласованию), СПК (по согласованию), ВАП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финансовой устойчивости (форма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по истечении 80 календарных дней с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МНЭ, МФ, ГП (по согласованию), СПК (по согласованию), ВАП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освоению денежных средств Национального фонда Республики Казахстан (форма 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15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МНЭ, МФ, ГП (по согласованию), СПК (по согласованию), ВАП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социальным показателям дочерних организаций, имеющих статус национальных компаний (форма 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15 числа третьего месяца, следующего за отчетным периодом (по состоянию на 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МНЭ, МФ, ГП (по согласованию), СПК (по согласованию), ВАП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инвестиционных проектах Фонда находящихся на стадии реализации, определенных решением Совета директоров Фонда, в том числе в рамках национальных проектов и (или) документов Системы государственного планирования, а также с использованием средств республиканского бюджета и Национального фонда, по поручению Главы Государства и Правительства Республики Казахстан (форма 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к 10 числу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МПС, МТ, МНЭ, МФ, ГП (по согласованию), СПК (по согласованию), ВАП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по отрасли связи (форма 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до 10 числа месяца, следующего за отчетным периодом, и в сроки, указанные в форме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МИИЦР, ВАП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освоению бюджетных инвестиций и кредитов Фонда (форма 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ежемесячно, до 10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МНЭ, МФ, ГП (по согласованию), СПК (по согласованию), ВАП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IT-специалистам группы Фонда (форма 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15 числа второго месяца, следующего за отчетным периодом (по состоянию на 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МИИЦР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группы Фонда согласно методике классификации юридических лиц, акции (доли участия) которых прямо или косвенно принадлежат Фонду (форма 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30 апреля, следующего за отчетным периодом (по состоянию на 1 января)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МНЭ, МФ, ГП (по согласованию), СПК (по согласованию), ВАП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Фонда, утвержденный Советом директоров Фонда, и отчет по его исполнению (форма 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двух недель после утверждения Плана мероприятий и рассмотрения отчета Советом директоров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МНЭ, МФ, ГП (по согласованию), СПК (по согласованию), ВАП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причинах остатка на контрольном счете наличности Фонда (форма 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10 марта,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МНЭ, МФ, ГП (по согласованию), СПК (по согласованию), ВАП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передаче в конкурентную среду объектов Фонда, предусмотренных в постановлении Правительства Республики Казахстан от 29 декабря 2020 года № 908 "О некоторых вопросах приватизации на 2021 – 2025 годы" (форма 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10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МНЭ, МФ, ГП (по согласованию), СПК (по согласованию), ВАП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Фонда о начисленных прочих распределениях в пользу акционера по корпоративному центру Фонда (форма 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15 числа месяца,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МНЭ, МФ, ГП (по согласованию), СПК (по согласованию), ВАП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начисленных дивидендах на государственный пакет акций Фонда (форма 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10 марта,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МНЭ, МФ, ГП (по согласованию), СПК (по согласованию), ВАП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использовании средств чистого дохода, оставшихся после выплаты дивидендов или отчислений в соответствующий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5 февраля, следующего за отчетным периодом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 (по согласованию), АПр, МНЭ, МФ, ГП (по согласованию), СПК (по согласованию), ВАП (по согласованию)</w:t>
            </w: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ВАП – Высшая аудиторская палата Республики Казахстан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– акционерное общество "Фонд национального благосостояния "Самрук-Қазына"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Администрация Президента Республики Казахстан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– Служба по противодействию коррупции Комитета национальной безопасности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 – Аппарат Правительства Республики Казахстан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МИИЦР – Министерство искусственного интеллекта и цифрового развития Республики Казахстан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отчетности, необходимой государственным органам, размещаемой на интернет-ресурсе Фонда национального благосостояния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заимствований и график погашения (Структура гарантий) Наименование дочерней организации (корпоративного центра): Период, за который составляется отчетность: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столбцы не заполняются для гарантий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(Гарант)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Заимодатель (Бенефициар по гарантии)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(Гарантируемый инструмент)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заимствования (Объект гарантии; цель привлечения гарантируемого заимствования)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CRDTR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INSTR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PURPS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заимствования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заимствования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Заимствования внутри группы "Самрук-Казына"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за компании группы "Самрук-Казына"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за иные компании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заимствования (Договор гарантии)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займа (Условия гарантии)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освоения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условия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REFNO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REFDT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LNCCY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LNAMNT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LNACT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INTRT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CONDS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займа (Срок гарантируемого займа)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обеспечения по займу (Вид обеспечения по гарантии)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освоения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периода доступности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срок в днях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DTPLC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AVLB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DTPMT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NDAYS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CLTRL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 (далее -ОД) 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20ХХ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20ХХ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20ХХ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Y0DBT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1QPRL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1QINT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2QPRL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2QINT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3QPRL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3QINT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20ХХ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на начало периода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на начало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4QPRL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4QINT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Y1DBT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Y1PRL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Y1INT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Y2DBT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Y2PRL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Y2INT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20XX+5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на начало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на начало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 на начало периода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Y3DBT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Y3PRL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Y3INT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Y4DBT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Y4PRL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Y4INT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Y5DBT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Y5PRL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Y5INT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финансовой устойчивости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(факт)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 (оценка)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 (прогноз)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 (прогноз)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 (прогноз)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20ХХ+5 (прогноз)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Долг/EBITDA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покрытия процентных платежей (EBITDA/процентные расходы)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Долг/Собственный капитал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текущей ликвидности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освоению денежных средств Национального фонда Республики Казахстан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миллионах теңге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(целевое назначение)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(предусмотрено)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(перечислено)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фонду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Неосвоенный остаток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наличии у фонда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(= 8 + 10)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(= 4 - 6)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социальным показателям дочерних организаций (далее – ДО), имеющих статус национальных компаний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работников, 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труда, 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плата, 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Текучесть кадров,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текучесть кадров среди менеджмента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инвестиционных проектах Фонда находящихся на стадии реализации, определенных решением Совета директоров Фонда, в том числе в рамках национальных проектов и (или) документов Системы государственного планирования, а также с использованием средств республиканского бюджета и Национального фонда, по поручению Главы Государства и Правительства Республики Казахстан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стоимостном выражении в год, миллион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на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Освоенные инвестиции с начала реализации проекта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проекта, млн теңге (по годам)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финансирования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млн теңге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 общей стоимости проекта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(Фонд и ДЗО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РБ (НФ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ЕНПФ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(заем)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(месяц, год)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выхода на проектную мощность (месяц, год)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в натуральном выражении (с даты ввода в эксплуатацию), тонн, штук и тому подобное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в стоимостном выражении (с даты ввода в эксплуатацию), миллион теңге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(исполненные мероприятия по проекту и проводимые работы)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Проблемные вопросы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решения с указанием компетентного органа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Дочерние и зависимые организации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Республиканский бюджет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Национальный фонд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Единый накопительный пенсионный фонд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Аналитическая информация по отрасли связи Ежемесячная информация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 с нарастающим итогом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цифровизации местных сетей телекоммуникаций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цифровизации местных сетей телекоммуникаций в сельской местности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фиксированных телефонных линий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фиксированных телефонных линий в сельской местности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фиксированного Интернета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фиксированного широкополосного доступа к Интернету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пользователей, имеющих доступ к Интернету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пользователей, имеющих широкополосный доступ к Интернету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пропускная способность Интернета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Мегабит в секунду (далее – Мбит/с)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охвата услугами широкополосного доступа к Интернету с использованием технологии CDMA 450 сельских населенных пунктов с численностью от 50 человек и более (в разрезе регионов)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услугами широкополосного доступа к Интернету с использованием технологии CDMA 450 сельских населенных пунктов с численностью от 50 человек и более (в разрезе регионов)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отделений почтовой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6</w:t>
            </w:r>
          </w:p>
        </w:tc>
      </w:tr>
    </w:tbl>
    <w:bookmarkStart w:name="z8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Ежемесячная аналитическая информация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 отчетный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текущем состоянии и развитии акционерного общества "Казахтелеком"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числа, следующего за отчетным месяцем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выполненных работах по цифровым коммутационным станциям на местных сетях телекоммуникаций. Развитие местной сети телекоммуникаций. Строительство местной сети телекоммуникаций.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выполненных работах по модернизации и развитию сетей телекоммуникаций сельской связи с использованием технологии CDMA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выполненных работах по расширению Национальной информационной супермагистрали на основе технологии спектрального уплотнения DWDM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сельских населенных пунктах, обеспеченных универсальными услугами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строительство Зоновой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расширение Магистральной сети телекоммуникаций (Волоконно-оптической линии связи Национальной информационной супермагистрали)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проектах внедрения новых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доступа к Интернету и широкополосного доступа к Интернету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сети беспроводного доступа к Интернету на основе технологии CDMA-450/800, EV-DO, 4G (LTE), FTTH (инфраструктура, количество базовых станций, в разрезе областей)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абонентов и средняя скорость широкополосного доступа к Интернету по технологиям ADSL, FTTH, CDMA-450, EV-DO, LTE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услуг SIP-телефонии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точек доступа к широкополосному Интернету по технологии Wi-Fi, установленных в местах общественного пользования (высшие учебные заведения, больницы, гостиницы, центры обслуживания населения, областные железнодорожные вокзалы и т. 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ID TV (количество абонентов, инфраструктура)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6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показателям Международного союза электросвязи (далее – МСЭ)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МСЭ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Фиксированная телефонная сеть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год, к 1 мая и 1 ноября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Фиксированные телефонные линии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емкость местных телефонных станций общего 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фиксированных телефонных линий, подключенных к цифровым телефонным станциям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VoIP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доля фиксированных телефонных линий, которые обслуживают квартирных абонентов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фиксированных телефонных линий в городских районах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доля населенных пунктов с телефонным обслуживанием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 таксофоны общего 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цифровой сети с интеграцией служб (далее - ЦСИС)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ЦСИС с базовой скоростью передачи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ЦСИС с первичной скоростью передачи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Эквиваленты речевого канала ЦСИС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112pt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Перенесенные номера в сети фиксированной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подвижной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Контракты для подвижной сотовой телефонной связи (с последующей оплатой + с предоплатой)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Контракты подвижной сотовой связи: предоплата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pop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охвата населения сетью подвижной сотовой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сетями подвижной связи 3G/4G (процентная доля населения)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271pt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номеров линий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абонентов фиксированного (проводного) Интернета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Интернета с доступом по телефонной линии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пропускная способность Интернета (Мбит/с)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4214og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пропускная способность исходящего Интернета (Мбит/с)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4214ic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пропускная способность входящего Интернета (Мбит/с)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пропускная способность Интернета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пропускная способность входящего Интернета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4214do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пропускная способность исходящего Интернета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широкополосного Интернета с фиксированной (проводной) связью в зависимости от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4213tfb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абонентов широкополосного Интернета с фиксированным (проводным) доступом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4213cab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Интернета с использованием кабельного модема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4213dsl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Абоненты цифровой абонентской линии (далее - ЦАЛ) (Интернет)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4213ftt h/b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Волоконно-оптическое подключение к дому/зданию (FTTH/B)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4213ob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абоненты широкополосного Интернета с фиксированным (проводным) доступом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(проводной) широкополосный доступ в зависимости от скорости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2 56to2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со скоростью от 256 кбит/с до менее 2 Мбит/с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2to10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со скоростью от 2 Мбит/с до менее 10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G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10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10to100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со скоростью от 10 Мбит/с до менее 100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100to1G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со скоростью от 100 Мбит/с до менее 1 Гигабит в секунду (далее – Гбит/с)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 G 1Gb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линии со скоростью выше 1 Гбит/с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широкополосный доступ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271twb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абонентов с беспроводным широкополосным доступом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Спутниковые линии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271fw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наземной фиксированной беспроводной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наземной подвижной беспроводной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271mb_use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линии подвижной связи с использованием передачи данных на широкополосных скоростях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271md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линии подвижной связи для передачи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фиксированный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Междугородный фиксированный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фиксированный телефонный трафик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1313w 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исходящий трафик между сетями фиксированной и подвижной связи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входящий и исходящий фиксированный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исходящий фиксированный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132mi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входящий фиксированный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трафик подвижной связи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минут исходящей/исходной подвижной связи с той же самой сетью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минут исходящей/исходной подвижной связи с другими сетями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1332wmf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минут исходящей подвижной связи с сетями фиксированной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минут исходящей/исходной подвижной связи с международными сетями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1335wm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минут входящей международной связи с сетью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sms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Переданные SMS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133mm 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Переданные MMS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международный входящий и исходящий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международный исходящий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132ti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международный входящий телефонный трафик (в минутах)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VoIP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VoIP в минутах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135tfb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Интернет–трафик с использованием фиксированной (проводной) широкополосной связи (Гигабайт (далее – Гбайт))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136mwi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Интернет–трафик с использованием подвижной широкополосной связи (в пределах страны) (Гбайт)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136mwo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Интернет–трафик с использованием подвижной широкополосной связи (за пределами страны, исходящий роуминг) (Гбайт)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фиксированной местной телефонной связи - линии для квартирных абонентов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установку в рамках услуг телефонной связи для квартирных абонентов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абонентская плата за услуги телефонной связи для квартирных абонентов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трех минут разговора в случае местного вызова по сети фиксированной телефонной связи (тариф в период максимальной нагрузки)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трех минут разговора в случае местного вызова по сети фиксированной телефонной связи (тариф в обычное время)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фиксированной местной телефонной связи - корпоративные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установку в рамках услуг корпоративной телефонной связи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абонентская плата за услуги корпоративной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подвижную сотовую связь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подключение к сети подвижной сотовой связи с последующей оплатой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подключение к сети подвижной сотовой связи с предоплатой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абонентская плата за подвижную сотовую 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- стоимость трех минут местного вызова (в период максимальной нагрузки 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период максимальной нагрузки 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период максимальной нагрузки в другой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период максимальной нагрузки, с фиксированной линией связи)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- стоимость трех минут местного вызова (в обычное время 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обычное время 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153роо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обычное время в другой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153pof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обычное время, с фиксированной линией связи)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153рwn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выходные дни/вечером 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153pwo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выходные дни/вечером в другой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153pwf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с предоплатой - цена за минуту местного вызова (в выходные дни/вечером, с фиксированной линией связи)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153sms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- стоимость SMS (в той же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153sms_po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сотовая связь - стоимость SMS (в другой сети)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Интернет с широкополосным доступом посредством фиксированной (проводной)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широкополосный доступ к Интернету с фиксированной (проводной) связью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абонентская плата за пользование Интернетом с широкополосным доступом посредством фиксированной (проводной) связи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4213bs_s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передачи при использовании фиксированного широкополосного доступа, в Мбит/с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4213bs_с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объем трафика при использовании фиксированного (проводного) широкополосного доступа, в ГБ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4213bs_cp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превышение ограничения на широкополосный доступ посредством фиксированной (проводной)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очередников для фиксированных линий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неисправностей на 100 фиксированных линий за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неисправностей фиксированных телефонных линий, устраненных к следующему рабочему дню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безуспешных вызовов при подвижной сотовой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отброшенных вызовов при подвижной сотовой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 на 100 контрактов на фиксированную (проводную) широкополосную 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активации обслуживания в отношении услуги фиксированной (проводной) широкополосной связи (в днях)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персонала в сфере электросвязи, работающего полный рабочий день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If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 в сфере электросвязи женского пола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 в сфере подвижной электросвязи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доход от всех услуг электросвязи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услуг фиксированной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подвижной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Совокупные годовые инвестиции в электросвязь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службу фиксированной телефонной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(проводную) широкополосную 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подвижную 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инвестиции в электросвязь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Платное телевидение (далее - ТВ)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965IP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подключения IPTV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подключения спутникового 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965cab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Абонентские подключения кабельного 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965oth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абонентских подключений 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6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показателям Регионального содружества в области связи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стационарных отделений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год, к 1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почтальонов,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Почтово-кассовые терминалы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почтово-кассовые терминалы, используемые в качестве пунктов подключений к сети передачи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автомобилей, используемых на перевозке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контрольных сроков прохождения международных и внутренних отправлений EMS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контрольных сроков прохождения письменной корреспонденции (для внутренних отправлений)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Письменная корреспонденция,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письменная корреспонденция,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нее: международная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заказная письменная корреспонденция,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письменная корреспонденция с объявленной ценностью,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нее: международная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периодических печатных изданий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отправленных и доставленных внутри страны по подписке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 в розницу через сеть почтовых отделений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Гибридная почта,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пенсий и пособий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ускоренной почты (услуги EMS),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почтовый обмен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него письменная корреспонденция,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письменная корреспонденция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заказная письменная корреспонденция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письменная корреспонденция с объявленной ценностью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мешки "М"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 от посылторговых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сообщения электронной почты (гибридная почта)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отправления ускоренной почты (услуги EMS)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переводы, всего,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платный обмен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платный обмен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услуги почтовой связи: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пересылку простого письма в пределах страны (весом до 20 грамм):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национальной валюты (далее - ед. нац. валюты)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 (далее - дол. США)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бюджетных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коммерческих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пересылку почтового денежного перевода в пределах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бюджетных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коммерческих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пересылку обыкновенной посылки наземным транспортом в пределах страны (в номинальном весе на соответствующий период)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бюджетных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коммерческих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услуг почтовой связи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ед. нац. валюты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услуг почтовой связи на душу населения: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нац. валюты/человек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работников почтовой связи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 на полную ставку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работающих женщин от общей численности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</w:tbl>
    <w:bookmarkStart w:name="z9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освоению бюджетных инвестиций и кредитов Фонда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предоставления бюджетных инвестиций/кредитов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предусмотренных Законом о республиканском бюджете бюджетных инвестиций/кредитов, миллион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выделенных бюджетных инвестиций/кредитов, миллион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освоенных средств исполнителем проекта, миллион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неосвоенных средств, миллион теңге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освоения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неосвоения бюджетных инвестиций/кредитов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инвестиции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</w:t>
            </w:r>
          </w:p>
        </w:tc>
      </w:tr>
    </w:tbl>
    <w:bookmarkStart w:name="z9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IT-специалистам группы Фонда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IT-специалистов в группе Фонда (чел.)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IT-специалисты высшего уровня квалификации в разрезе специальностей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аналитик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IТ-специальности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</w:p>
        </w:tc>
      </w:tr>
    </w:tbl>
    <w:bookmarkStart w:name="z9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группы Фонда </w:t>
      </w:r>
      <w:r>
        <w:rPr>
          <w:rFonts w:ascii="Times New Roman"/>
          <w:b/>
          <w:i w:val="false"/>
          <w:color w:val="000000"/>
          <w:vertAlign w:val="superscript"/>
        </w:rPr>
        <w:t>5</w:t>
      </w:r>
      <w:r>
        <w:rPr>
          <w:rFonts w:ascii="Times New Roman"/>
          <w:b/>
          <w:i w:val="false"/>
          <w:color w:val="000000"/>
        </w:rPr>
        <w:t xml:space="preserve"> согласно Методике классификации юридических лиц, акции (доли участия) которых прямо или косвенно принадлежат Фонду </w:t>
      </w:r>
      <w:r>
        <w:rPr>
          <w:rFonts w:ascii="Times New Roman"/>
          <w:b/>
          <w:i w:val="false"/>
          <w:color w:val="000000"/>
          <w:vertAlign w:val="superscript"/>
        </w:rPr>
        <w:t>6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компаний (дочерняя организация/ассоциированная компания, совместное предприятие)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владения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организаций,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(АО)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(ТОО)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дочерних, зависимых и иных юридических лиц Фонда, являющихся аффилированными с ними, на которые Фонд имеет значительное влияние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Утверждена Правлением Фонда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Бизнес-идентификационный номер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10</w:t>
            </w:r>
          </w:p>
        </w:tc>
      </w:tr>
    </w:tbl>
    <w:bookmarkStart w:name="z1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Фонда, утвержденный Советом директоров Фонда, и отчет по его исполнению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20ХХ-2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20ХХ-1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Макроэкономические 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потребительских цен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нефть (Брент)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дол. США за баррель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курс теңге к доллару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за 1 доллар в среднем за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Реальный рост ВВП, в % к предыдущему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Ключевые показатели деятельности (КПД) по группе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Консолидированные финансовые 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финансовой устойчивости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основной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реализации, процентные доходы и прочие финансовые доходы (для ДО финансового сегмента по их основной деятельности), прочие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неосновной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расходы на текущую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продукции/услуг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транспортировке и реализации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прибыль "+"/ убыток "-"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доходах/убытках организаций, учитываемых по методу долевого участия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Доход/ (убыток) от прекращенной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подоходному налогу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доход/(убыток) до вычета доли меньшинства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доход/ (убыток)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акционеру (Правительству)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расходы на развитие (инвестиции)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Фонда в Уставный капитал 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 (без банка второго уровня)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 рабочем состоянии производственных активов и прочих основных средств, непосредственно участвующих в процессе производственной деятельности 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капитал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и долговые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20ХХ+4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% к оценке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1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2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на 3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11</w:t>
            </w:r>
          </w:p>
        </w:tc>
      </w:tr>
    </w:tbl>
    <w:bookmarkStart w:name="z10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причинах остатка на контрольном счете наличности Фонда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теңге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Неиспользованный остаток на контрольном счете наличности (далее – КСН) Фонда на начало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средств, предусмотренных в Законе о РБ, в отчетном финансовом году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средств на КСН Фонда (гр.4 + гр.7)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на КСН Фонда за отчетный финансовый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 КСН Фонда за отчетный финансовый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Неиспользованный остаток на КСН Фонда на конец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неиспользования средств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поступлений отчетного финансового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остатки средств отчетного финансового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Администратор республиканской бюджетной программы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Бюджетная программа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</w:t>
            </w:r>
          </w:p>
        </w:tc>
      </w:tr>
    </w:tbl>
    <w:bookmarkStart w:name="z11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передаче в конкурентную среду объектов Фонда, предусмотренных в перечнях, утверждаемых постановлением Правительства Республики Казахстан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Находится в приложении № _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собственности, всего, %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 продажу (передачу),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конкурентную среду, 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продажи (подписание договора купли-продажи)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выбытия из структуры Фонда (продано ликвидировано, реорганизовано)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продажи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предусмотренных в перечнях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приложению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приложению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приложению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приложению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тысяч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(собственный капитал)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(стартовая)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11=10-8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12=10-9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требуется заполнение по ликвидированным и реорганизованным активам.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финансовые показатели за отчетный год, предшествующий году продажи актива.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13</w:t>
            </w:r>
          </w:p>
        </w:tc>
      </w:tr>
    </w:tbl>
    <w:bookmarkStart w:name="z11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Фонда о начисленных прочих распределениях в пользу Акционера по корпоративному центру Фонда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поручения,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14</w:t>
            </w:r>
          </w:p>
        </w:tc>
      </w:tr>
    </w:tbl>
    <w:bookmarkStart w:name="z11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перечислению дивидендов на государственный пакет акций Фонда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права владения и пользования государственным пакетом акции (далее – ГПА)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ГПА, в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по итогам года, предшествующего отчетному финансовому году (тысяч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дивидендов на ГПА в отчетном финансовом году (тысяч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15</w:t>
            </w:r>
          </w:p>
        </w:tc>
      </w:tr>
    </w:tbl>
    <w:bookmarkStart w:name="z1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средств чистого дохода, оставшихся после выплаты дивидендов или отчислений в соответствующий бюджет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 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чистый доход, оставшийся после выплаты дивидендов или отчислений в соответствующий бюджет, тысяч теңге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основные направления использования: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производства, тысяч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инвестиционного проекта, тысяч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формирование резервов, тысяч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направления (расшифровать), 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состоянию на "____" ______________________ 20___г.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