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8193" w14:textId="6ad8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20 августа 2026 года № 133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34-9 изложить в следующей редакции:</w:t>
      </w:r>
    </w:p>
    <w:bookmarkStart w:name="z8" w:id="3"/>
    <w:p>
      <w:pPr>
        <w:spacing w:after="0"/>
        <w:ind w:left="0"/>
        <w:jc w:val="both"/>
      </w:pPr>
      <w:r>
        <w:rPr>
          <w:rFonts w:ascii="Times New Roman"/>
          <w:b w:val="false"/>
          <w:i w:val="false"/>
          <w:color w:val="000000"/>
          <w:sz w:val="28"/>
        </w:rPr>
        <w:t>
      "2) максимальный срок принятия государственных обязательств по проектам строительства "под ключ" до 20 (двадцати) лет в зависимости от особенностей проекта строительства "под ключ";</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"34-14. Целесообразность принятия государственных обязательств по проектам строительства "под ключ" должна быть одобрена соответствующей бюджетной комиссией до объявления конкурсных процедур по отбору поставщика.</w:t>
      </w:r>
    </w:p>
    <w:bookmarkEnd w:id="4"/>
    <w:bookmarkStart w:name="z11" w:id="5"/>
    <w:p>
      <w:pPr>
        <w:spacing w:after="0"/>
        <w:ind w:left="0"/>
        <w:jc w:val="both"/>
      </w:pPr>
      <w:r>
        <w:rPr>
          <w:rFonts w:ascii="Times New Roman"/>
          <w:b w:val="false"/>
          <w:i w:val="false"/>
          <w:color w:val="000000"/>
          <w:sz w:val="28"/>
        </w:rPr>
        <w:t>
      При этом планируемый срок выполнения государственных обязательств, включая начальный и конечный периоды (месяц, год), устанавливаются заказчиком для возможности выполнения обязательств.</w:t>
      </w:r>
    </w:p>
    <w:bookmarkEnd w:id="5"/>
    <w:bookmarkStart w:name="z12" w:id="6"/>
    <w:p>
      <w:pPr>
        <w:spacing w:after="0"/>
        <w:ind w:left="0"/>
        <w:jc w:val="both"/>
      </w:pPr>
      <w:r>
        <w:rPr>
          <w:rFonts w:ascii="Times New Roman"/>
          <w:b w:val="false"/>
          <w:i w:val="false"/>
          <w:color w:val="000000"/>
          <w:sz w:val="28"/>
        </w:rPr>
        <w:t>
      При направлении АБП проекта на рассмотрение соответствующей бюджетной комиссии устанавливаются максимальные пределы годовых сумм по выплатам государственных обязательств, которые идентичны при объявлении конкурса. Увеличение утвержденных годовых сумм, принимаемых государственных обязательств без рассмотрения соответствующей бюджетной комиссии не допускается.";</w:t>
      </w:r>
    </w:p>
    <w:bookmarkEnd w:id="6"/>
    <w:bookmarkStart w:name="z13"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34-15</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"По итогам проведенных государственных закупок АБП направляет в центральный уполномоченный орган по бюджетному планированию или местный уполномоченный орган по государственному планированию пакет документов по проекту строительства "под ключ" для вынесения на рассмотрение соответствующей бюджетной комиссии вопроса принятия государственных обязательств.</w:t>
      </w:r>
    </w:p>
    <w:bookmarkEnd w:id="8"/>
    <w:bookmarkStart w:name="z15" w:id="9"/>
    <w:p>
      <w:pPr>
        <w:spacing w:after="0"/>
        <w:ind w:left="0"/>
        <w:jc w:val="both"/>
      </w:pPr>
      <w:r>
        <w:rPr>
          <w:rFonts w:ascii="Times New Roman"/>
          <w:b w:val="false"/>
          <w:i w:val="false"/>
          <w:color w:val="000000"/>
          <w:sz w:val="28"/>
        </w:rPr>
        <w:t>
      Принятие государственных обязательств по проектам строительства "под ключ" осуществляется путем подписания договоров о строительстве "под ключ".";</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34-18</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"34-18. Объем финансирования проектов строительства "под ключ" и исполнения обязательств государства по проектам строительства "под ключ", направленных на возмещение инвестиционных расходов по проектам строительства "под ключ", не может превышать стоимость строительства и (или) реконструкции объекта строительства "под ключ".</w:t>
      </w:r>
    </w:p>
    <w:bookmarkEnd w:id="10"/>
    <w:bookmarkStart w:name="z18" w:id="11"/>
    <w:p>
      <w:pPr>
        <w:spacing w:after="0"/>
        <w:ind w:left="0"/>
        <w:jc w:val="both"/>
      </w:pPr>
      <w:r>
        <w:rPr>
          <w:rFonts w:ascii="Times New Roman"/>
          <w:b w:val="false"/>
          <w:i w:val="false"/>
          <w:color w:val="000000"/>
          <w:sz w:val="28"/>
        </w:rPr>
        <w:t>
      Средства займа, привлекаемого под обязательства государства по проекту строительства "под ключ", используются на создание (реконструкцию) объектов по проекту строительства "под ключ".</w:t>
      </w:r>
    </w:p>
    <w:bookmarkEnd w:id="11"/>
    <w:bookmarkStart w:name="z19" w:id="12"/>
    <w:p>
      <w:pPr>
        <w:spacing w:after="0"/>
        <w:ind w:left="0"/>
        <w:jc w:val="both"/>
      </w:pPr>
      <w:r>
        <w:rPr>
          <w:rFonts w:ascii="Times New Roman"/>
          <w:b w:val="false"/>
          <w:i w:val="false"/>
          <w:color w:val="000000"/>
          <w:sz w:val="28"/>
        </w:rPr>
        <w:t>
      К расчету по исполнению государственных обязательств по проектам строительства "под ключ" принимается базовая ставка, установленная Национальным Банком Республики Казахстан + (плюс) 2 (два) процентных пункта на день подачи конкурсной заявки.";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34-27</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"34-27. При разработке финансово-экономической модели используется предположение, что:</w:t>
      </w:r>
    </w:p>
    <w:bookmarkEnd w:id="13"/>
    <w:bookmarkStart w:name="z22" w:id="14"/>
    <w:p>
      <w:pPr>
        <w:spacing w:after="0"/>
        <w:ind w:left="0"/>
        <w:jc w:val="both"/>
      </w:pPr>
      <w:r>
        <w:rPr>
          <w:rFonts w:ascii="Times New Roman"/>
          <w:b w:val="false"/>
          <w:i w:val="false"/>
          <w:color w:val="000000"/>
          <w:sz w:val="28"/>
        </w:rPr>
        <w:t>
      1) проект осуществляется при отсутствии/наличии государственной поддержки;</w:t>
      </w:r>
    </w:p>
    <w:bookmarkEnd w:id="14"/>
    <w:bookmarkStart w:name="z23" w:id="15"/>
    <w:p>
      <w:pPr>
        <w:spacing w:after="0"/>
        <w:ind w:left="0"/>
        <w:jc w:val="both"/>
      </w:pPr>
      <w:r>
        <w:rPr>
          <w:rFonts w:ascii="Times New Roman"/>
          <w:b w:val="false"/>
          <w:i w:val="false"/>
          <w:color w:val="000000"/>
          <w:sz w:val="28"/>
        </w:rPr>
        <w:t>
      2) проект финансируется из коммерческих источников по рыночной стоимости заимствования (процентной ставке) либо с льготным заимствованием;</w:t>
      </w:r>
    </w:p>
    <w:bookmarkEnd w:id="15"/>
    <w:bookmarkStart w:name="z24" w:id="16"/>
    <w:p>
      <w:pPr>
        <w:spacing w:after="0"/>
        <w:ind w:left="0"/>
        <w:jc w:val="both"/>
      </w:pPr>
      <w:r>
        <w:rPr>
          <w:rFonts w:ascii="Times New Roman"/>
          <w:b w:val="false"/>
          <w:i w:val="false"/>
          <w:color w:val="000000"/>
          <w:sz w:val="28"/>
        </w:rPr>
        <w:t>
      3) меры финансовой поддержки.</w:t>
      </w:r>
    </w:p>
    <w:bookmarkEnd w:id="16"/>
    <w:bookmarkStart w:name="z25" w:id="17"/>
    <w:p>
      <w:pPr>
        <w:spacing w:after="0"/>
        <w:ind w:left="0"/>
        <w:jc w:val="both"/>
      </w:pPr>
      <w:r>
        <w:rPr>
          <w:rFonts w:ascii="Times New Roman"/>
          <w:b w:val="false"/>
          <w:i w:val="false"/>
          <w:color w:val="000000"/>
          <w:sz w:val="28"/>
        </w:rPr>
        <w:t>
      При этом по проектам строительства "под ключ", предусматривающим выполнение государственных обязательств, субсидирование ставки вознаграждения не предусматривается.</w:t>
      </w:r>
    </w:p>
    <w:bookmarkEnd w:id="17"/>
    <w:bookmarkStart w:name="z26" w:id="18"/>
    <w:p>
      <w:pPr>
        <w:spacing w:after="0"/>
        <w:ind w:left="0"/>
        <w:jc w:val="both"/>
      </w:pPr>
      <w:r>
        <w:rPr>
          <w:rFonts w:ascii="Times New Roman"/>
          <w:b w:val="false"/>
          <w:i w:val="false"/>
          <w:color w:val="000000"/>
          <w:sz w:val="28"/>
        </w:rPr>
        <w:t>
      В рамках финансово-экономической модели вычисляется чистая приведенная стоимость проекта (далее – базовая NPV).</w:t>
      </w:r>
    </w:p>
    <w:bookmarkEnd w:id="18"/>
    <w:bookmarkStart w:name="z27" w:id="19"/>
    <w:p>
      <w:pPr>
        <w:spacing w:after="0"/>
        <w:ind w:left="0"/>
        <w:jc w:val="both"/>
      </w:pPr>
      <w:r>
        <w:rPr>
          <w:rFonts w:ascii="Times New Roman"/>
          <w:b w:val="false"/>
          <w:i w:val="false"/>
          <w:color w:val="000000"/>
          <w:sz w:val="28"/>
        </w:rPr>
        <w:t xml:space="preserve">
      В случае реализации проекта строительства "под ключ" за счет собственных средств потенциального поставщика с последующим выполнением государственных обязательств и равенства количества баллов неценовых критериев, определенных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Реестре государственной регистрации нормативных правовых актов за № 35238), победителем признается участник конкурса, предложивший наилучшие условия финансово-экономической модели согласно настоящим Правилам.</w:t>
      </w:r>
    </w:p>
    <w:bookmarkEnd w:id="19"/>
    <w:bookmarkStart w:name="z28" w:id="20"/>
    <w:p>
      <w:pPr>
        <w:spacing w:after="0"/>
        <w:ind w:left="0"/>
        <w:jc w:val="both"/>
      </w:pPr>
      <w:r>
        <w:rPr>
          <w:rFonts w:ascii="Times New Roman"/>
          <w:b w:val="false"/>
          <w:i w:val="false"/>
          <w:color w:val="000000"/>
          <w:sz w:val="28"/>
        </w:rPr>
        <w:t xml:space="preserve">
      Наилучшим условием финансово-экономической модели является наименьшее значение чистой приведенной стоимости платежей, которое заказчик оплачивает поставщику за построенный и введенный в эксплуатацию объект строительства "под ключ". </w:t>
      </w:r>
    </w:p>
    <w:bookmarkEnd w:id="20"/>
    <w:bookmarkStart w:name="z29" w:id="21"/>
    <w:p>
      <w:pPr>
        <w:spacing w:after="0"/>
        <w:ind w:left="0"/>
        <w:jc w:val="both"/>
      </w:pPr>
      <w:r>
        <w:rPr>
          <w:rFonts w:ascii="Times New Roman"/>
          <w:b w:val="false"/>
          <w:i w:val="false"/>
          <w:color w:val="000000"/>
          <w:sz w:val="28"/>
        </w:rPr>
        <w:t>
      При этом чистая приведенная стоимость платежей от заказчика поставщику рассчитывается по формуле:</w:t>
      </w:r>
    </w:p>
    <w:bookmarkEnd w:id="21"/>
    <w:bookmarkStart w:name="z30"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806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где:</w:t>
      </w:r>
    </w:p>
    <w:bookmarkEnd w:id="23"/>
    <w:bookmarkStart w:name="z32" w:id="24"/>
    <w:p>
      <w:pPr>
        <w:spacing w:after="0"/>
        <w:ind w:left="0"/>
        <w:jc w:val="both"/>
      </w:pPr>
      <w:r>
        <w:rPr>
          <w:rFonts w:ascii="Times New Roman"/>
          <w:b w:val="false"/>
          <w:i w:val="false"/>
          <w:color w:val="000000"/>
          <w:sz w:val="28"/>
        </w:rPr>
        <w:t xml:space="preserve">
      Pi – сумма i-го платежа; </w:t>
      </w:r>
    </w:p>
    <w:bookmarkEnd w:id="24"/>
    <w:bookmarkStart w:name="z33" w:id="25"/>
    <w:p>
      <w:pPr>
        <w:spacing w:after="0"/>
        <w:ind w:left="0"/>
        <w:jc w:val="both"/>
      </w:pPr>
      <w:r>
        <w:rPr>
          <w:rFonts w:ascii="Times New Roman"/>
          <w:b w:val="false"/>
          <w:i w:val="false"/>
          <w:color w:val="000000"/>
          <w:sz w:val="28"/>
        </w:rPr>
        <w:t>
      r – годовая ставка дисконтирования;</w:t>
      </w:r>
    </w:p>
    <w:bookmarkEnd w:id="25"/>
    <w:bookmarkStart w:name="z34" w:id="26"/>
    <w:p>
      <w:pPr>
        <w:spacing w:after="0"/>
        <w:ind w:left="0"/>
        <w:jc w:val="both"/>
      </w:pPr>
      <w:r>
        <w:rPr>
          <w:rFonts w:ascii="Times New Roman"/>
          <w:b w:val="false"/>
          <w:i w:val="false"/>
          <w:color w:val="000000"/>
          <w:sz w:val="28"/>
        </w:rPr>
        <w:t xml:space="preserve">
      Годовая ставка дисконтирования является единой для всех участников конкурса и равняется "учетная ставка (базовая ставка) + 2%". При этом в расчетах используется учетная ставка (базовая ставка) центрального банка страны, в валюте которой выражены платежи. </w:t>
      </w:r>
    </w:p>
    <w:bookmarkEnd w:id="26"/>
    <w:bookmarkStart w:name="z35" w:id="27"/>
    <w:p>
      <w:pPr>
        <w:spacing w:after="0"/>
        <w:ind w:left="0"/>
        <w:jc w:val="both"/>
      </w:pPr>
      <w:r>
        <w:rPr>
          <w:rFonts w:ascii="Times New Roman"/>
          <w:b w:val="false"/>
          <w:i w:val="false"/>
          <w:color w:val="000000"/>
          <w:sz w:val="28"/>
        </w:rPr>
        <w:t>
      di – точная дата возникновения i-го платежа;</w:t>
      </w:r>
    </w:p>
    <w:bookmarkEnd w:id="27"/>
    <w:bookmarkStart w:name="z36" w:id="28"/>
    <w:p>
      <w:pPr>
        <w:spacing w:after="0"/>
        <w:ind w:left="0"/>
        <w:jc w:val="both"/>
      </w:pPr>
      <w:r>
        <w:rPr>
          <w:rFonts w:ascii="Times New Roman"/>
          <w:b w:val="false"/>
          <w:i w:val="false"/>
          <w:color w:val="000000"/>
          <w:sz w:val="28"/>
        </w:rPr>
        <w:t>
      d1 – дата определения победителя на конкурсе (является единой для всех участников конкурса).</w:t>
      </w:r>
    </w:p>
    <w:bookmarkEnd w:id="28"/>
    <w:bookmarkStart w:name="z37" w:id="29"/>
    <w:p>
      <w:pPr>
        <w:spacing w:after="0"/>
        <w:ind w:left="0"/>
        <w:jc w:val="both"/>
      </w:pPr>
      <w:r>
        <w:rPr>
          <w:rFonts w:ascii="Times New Roman"/>
          <w:b w:val="false"/>
          <w:i w:val="false"/>
          <w:color w:val="000000"/>
          <w:sz w:val="28"/>
        </w:rPr>
        <w:t>
      В случае если базовая NPV проекта отрицательна, разрабатывается расширенная финансово-экономическая модель путем включения в базовую финансово-экономическую модель возмещения затрат поставщика и получения доходов с соблюдением положений законодательства о строительстве "под ключ", установленных лимитов государственных обязательств по проектам строительства "под ключ", соотношения выгод и затрат, институциональной схемы и других особенностей проекта строительства "под ключ" с целью обеспечения коммерческой эффективности проекта строительства "под ключ".</w:t>
      </w:r>
    </w:p>
    <w:bookmarkEnd w:id="29"/>
    <w:bookmarkStart w:name="z38"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34-29</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both"/>
      </w:pPr>
      <w:r>
        <w:rPr>
          <w:rFonts w:ascii="Times New Roman"/>
          <w:b w:val="false"/>
          <w:i w:val="false"/>
          <w:color w:val="000000"/>
          <w:sz w:val="28"/>
        </w:rPr>
        <w:t>
      "На стадии планирования проекта строительства "под ключ", предлагаемого к финансированию за счет средств поставщика, включая собственные и/или заемные средства, предполагаемый размер инвестиций при создании объекта строительства "под ключ" определяется как сумма всех расходов поставщика по следующей формуле:";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34-31 изложить в следующей редакции:</w:t>
      </w:r>
    </w:p>
    <w:bookmarkStart w:name="z41" w:id="32"/>
    <w:p>
      <w:pPr>
        <w:spacing w:after="0"/>
        <w:ind w:left="0"/>
        <w:jc w:val="both"/>
      </w:pPr>
      <w:r>
        <w:rPr>
          <w:rFonts w:ascii="Times New Roman"/>
          <w:b w:val="false"/>
          <w:i w:val="false"/>
          <w:color w:val="000000"/>
          <w:sz w:val="28"/>
        </w:rPr>
        <w:t>
      "2) прочие операционные затраты, в том числе: натуральные нормы или материальные запасы, необходимые отраслевые расходы для запуска и функционирования объекта строительства "под ключ".";</w:t>
      </w:r>
    </w:p>
    <w:bookmarkEnd w:id="32"/>
    <w:bookmarkStart w:name="z42" w:id="33"/>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подпункта 2)</w:t>
      </w:r>
      <w:r>
        <w:rPr>
          <w:rFonts w:ascii="Times New Roman"/>
          <w:b w:val="false"/>
          <w:i w:val="false"/>
          <w:color w:val="000000"/>
          <w:sz w:val="28"/>
        </w:rPr>
        <w:t xml:space="preserve"> пункта 148 изложить в следующей редакции:</w:t>
      </w:r>
    </w:p>
    <w:bookmarkEnd w:id="33"/>
    <w:bookmarkStart w:name="z43" w:id="34"/>
    <w:p>
      <w:pPr>
        <w:spacing w:after="0"/>
        <w:ind w:left="0"/>
        <w:jc w:val="both"/>
      </w:pP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 составе ФЭО Инвестиций представляется заключение комплексной вневедомственной экспертизы на ПСД, за исключением проектов строительства "под ключ", по которым представляется расчетная стоимость строительства, землеустроительный проект или земельно-кадастровый план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p>
    <w:bookmarkEnd w:id="34"/>
    <w:bookmarkStart w:name="z44" w:id="35"/>
    <w:p>
      <w:pPr>
        <w:spacing w:after="0"/>
        <w:ind w:left="0"/>
        <w:jc w:val="both"/>
      </w:pPr>
      <w:r>
        <w:rPr>
          <w:rFonts w:ascii="Times New Roman"/>
          <w:b w:val="false"/>
          <w:i w:val="false"/>
          <w:color w:val="000000"/>
          <w:sz w:val="28"/>
        </w:rPr>
        <w:t>
      2.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35"/>
    <w:bookmarkStart w:name="z45"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6"/>
    <w:bookmarkStart w:name="z46"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48"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