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08d0" w14:textId="b380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2 июля 2026 года № 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на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99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10 июня 2025 года № 50 "Об утверждении критериев для определения потенциала сельских населенных пунктов" следующие изменения: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определения потенциала сельских населенных пунктов, утвержденных указанным приказом: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"Экономический блок (40 баллов)":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"Оценочная стоимость*"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стоимость*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поголовья*, млн.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150 миллионов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150 миллионов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голов * цена за голову) / 150 миллионов теңге*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урожая*, млн.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240 миллионов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240 миллионов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(Объем урожая * цена за тонну) / 240 миллионов теңге* 2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"Приведенные ниже пороговые значения рассчитывались исходя из международного опыта (анализировались показатели 21 страны), внутристрановых показателей, расчета средних значений по Республике Казахстан.";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оценочная стоимость – суммарно 6 баллов.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данного фактора являются оценочными и применяются для определения оценки объема животноводства и растениеводства в денежном выражении, а также оценки текущего экономического вклада в развитии животноводства и растениеводства в местную экономику. Источниками данных показателей являются данные местных исполнительных органов.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фактор подразделяется на две категории: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общая стоимость поголовья, миллион теңге – 3 баллов. Определяется как сумма стоимостей отдельных видов скота. Рассчитывается путем умножения количества скота на ценовую составляющую по каждому виду скота. Пороговое значение равно – 150 миллионов теңге. Источник информации – данные местных исполнительных органов.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классификационного фактора: (Количество голов скота*цену на голову скота, миллион теңге / 150 миллионов теңге)*3;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общая стоимость урожая, миллион теңге – 3 балла. Определятся как сумма стоимостей всех сельскохозяйственных культур, полученного от урожая текущего года. ВДС растениеводства рассчитывается путем умножения производства вида продукции растениеводства в натуральном выражении на ценовую составляющую по виду продукции растениеводства. Пороговое значение равно – 240 миллионов теңге. Источник информации – данные местных исполнительных органов.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классификационного фактора: (объем урожая*цену за тонну, миллион теңге / 240 миллионов теңге)*3.".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национальной экономики Республики Казахстан от 16 мая 2025 года № 29 "Об утверждении Правил взаимоотношений местных бюджетов одного уровня друг с другом по совместному решению вопросов местного значения на территории агломерации, порядка составления и представления отчетности о реализации соглашения о совместном решении вопросов местного значения на территории агломерации и требований к содержанию соглашения о совместном решении вопросов местного значения на территории агломерации" внести следующие изменения: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взаимоотношений местных бюджетов одного уровня друг с другом по совместному решению вопросов местного значения на территории агломерации, порядок составления и представления отчетности о реализации соглашения о совместном решении вопросов местного значения на территории агломерации и требования к содержанию соглашения о совместном решении вопросов местного значения на территории агломерации,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Взаимоотношения местных бюджетов одного уровня друг с другом по совместному решению вопросов местного значения на территории агломерации осуществляются на основании соглашения о совместном решении вопросов местного значения на территории агломерации по ходатайству акимов столицы, областей, городов республиканского значения, районов (городов районного значения) и допускаются на цели развития агломерации посредством строительства новых объектов.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Ходатайство акимов столицы, областей, городов республиканского значения, районов (городов районного значения) направляется ежеквартально, до 25 числа месяца, следующего за отчетным кварталом с учетом планируемых проектов на территории соответствующей агломерации.";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Инициатором совместного решения вопросов выступают местные исполнительные органы столицы, области, населенные пункты которой входят в агломерацию, города республиканского значения.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Инициатор направляет проект соглашения о взаимоотношениях и обоснование необходимости совместного решения вопроса в адрес других местных исполнительных органов столицы, области, населенные пункты которой входят в агломерацию, города республиканского значения.";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Местные исполнительные органы столицы, области, населенные пункты которой входят в агломерацию, города республиканского значения, получившие проект соглашения о совместном решении вопросов местного значения на территории агломерации, проводят его рассмотрение на заседаниях местного совета по агломерации и принимают решение о предоставлении земельного участка для строительства объектов на территории агломерации.".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23 июня 2025 года № 56 "Об утверждении Правил разработки системы региональных стандартов для населенных пунктов и Правил проведения мониторинга системы региональных стандартов для населенных пунктов" следующее изменение: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системы региональных стандартов для населенных пунктов , утвержденных указанным приказом: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сельские населенные пункты – населенные пункты независимо от их административной подчиненности, которые не относятся городским населенным пунктам, городам областного и республиканского значения;";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городские населенные пункты – города областного, республиканского и районного значения, а также поселки, находящиеся на территории их административной подчиненности;";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первом этапе посредством автоматизированной системы осуществляется поэтапный сбор данных местными исполнительными органами (от нижестоящего уровня к вышестоящему уровню) по обеспеченности объектами и услугами (благами) городских и сельских населенных пунктов страны, в том числе сел, центров сельских округов, районных центров, городов районного значения, городов республиканского и областного значения.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столицы, областей, городов республиканского значения, направляют не позднее 20 января года, следующего за отчетным, в отраслевые центральные государственные органы данные по обеспеченности объектами и услугами (благами) городских и сельских населенных пунктов страны и по потребностям в строительстве, ремонту и укомплектованию объектов в разрезе направлений, согласно перечню направлений и показателей.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обеспеченности объектами и услугами (благами) городских и сельских населенных пунктов страны и по потребностям в строительстве, ремонту и укомплектованию объектов формируется на основе форм, предназначенных для сбора информации по показателям, применяемым при расчете обеспеченности объектами и услугами (благами) Системы региональных стандартов (далее – Формы) согласно приложениям 1, 2, 3, 4, 5, 6, 7, 8, 9, 10, 11, 12 и 13 к настоящим Правилам.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направлений и показателей, применяемых при расчете обеспеченности объектами и услугами (благами) СРС, представлен в приложении 13 к настоящим Правилам (далее – Перечень направлений и показателей).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центральные государственные органы в течение 10 (десяти) рабочих дней осуществляют согласование и при необходимости направляют на доработку представленные данные.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столицы, областей, городов республиканского значения, предоставляют данные, согласованные с отраслевыми центральными государственными органами, в уполномоченный орган не позднее 15 февраля года, следующего за отчетным посредством автоматизированной системы, согласно приложениям 1, 2, 3, 4, 5, 6, 7, 8, 9, 10, 11, 12 и 13 к настоящим Правилам";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"Круг лиц, представляющих форму, предназначенную для сбора административных данных на безвозмездной основе: Местные исполнительные органы столицы, областей, городов республиканского значения";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"Образование":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местными исполнительными органами столицы, областей, городов республиканского значения";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Форма представляется местными исполнительными органами столицы, областей, городов республиканского значения, в Министерство национальной экономики Республики Казахстан: ежегодно, не позднее 15 февраля года, следующего за отчетным годом";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"Круг лиц, представляющих форму, предназначенную для сбора административных данных на безвозмездной основе: Местные исполнительные органы столицы, областей, городов республиканского значения";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"Здравоохранение":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местными исполнительными органами столицы, областей, городов республиканского значения";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Форма представляется местными исполнительными органами столицы, областей, городов республиканского значения, в Министерство национальной экономики Республики Казахстан: ежегодно, не позднее 15 февраля года, следующего за отчетным годом";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"Круг лиц, представляющих форму, предназначенную для сбора административных данных на безвозмездной основе: Местные исполнительные органы столицы, областей, городов республиканского значения";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"Социальное обеспечение":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местными исполнительными органами столицы, областей, городов республиканского значения";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Форма представляется местными исполнительными органами столицы, областей, городов республиканского значения, в Министерство национальной экономики Республики Казахстан: ежегодно, не позднее 15 февраля года, следующего за отчетным годом";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"Круг лиц, представляющих форму, предназначенную для сбора административных данных на безвозмездной основе: Местные исполнительные органы столицы, областей, городов республиканского значения";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"Культура и спорт":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местными исполнительными органами столицы, областей, городов республиканского значения";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Форма представляется местными исполнительными органами столицы, областей, городов республиканского значения, в Министерство национальной экономики Республики Казахстан: ежегодно, не позднее 15 февраля года, следующего за отчетным годом";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"Круг лиц, представляющих форму, предназначенную для сбора административных данных на безвозмездной основе: Местные исполнительные органы столицы, областей, городов республиканского значения";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"Досуг и отдых":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местными исполнительными органами столицы, областей, городов республиканского значения";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Форма представляется местными исполнительными органами столицы, областей, городов республиканского значения, в Министерство национальной экономики Республики Казахстан: ежегодно, не позднее 15 февраля года, следующего за отчетным годом";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"Круг лиц, представляющих форму, предназначенную для сбора административных данных на безвозмездной основе: Местные исполнительные органы столицы, областей, городов республиканского значения";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"Транспортная инфраструктура":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местными исполнительными органами столицы, областей, городов республиканского значения";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Форма представляется местными исполнительными органами столицы, областей, городов республиканского значения, в Министерство национальной экономики Республики Казахстан: ежегодно, не позднее 15 февраля года, следующего за отчетным годом";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"Круг лиц, представляющих форму, предназначенную для сбора административных данных на безвозмездной основе: Местные исполнительные органы столицы, областей, городов республиканского значения";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"Дорожная инфраструктура":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местными исполнительными органами столицы, областей, городов республиканского значения";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Форма представляется местными исполнительными органами столицы, областей, городов республиканского значения, в Министерство национальной экономики Республики Казахстан: ежегодно, не позднее 15 февраля года, следующего за отчетным годом";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"Круг лиц, представляющих форму, предназначенную для сбора административных данных на безвозмездной основе: Местные исполнительные органы столицы, городов республиканского значения, областей";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"Инженерная инфраструктура"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"Круг лиц, представляющих форму, предназначенную для сбора административных данных на безвозмездной основе: Местные исполнительные органы столицы, областей, городов республиканского значения";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"Обеспечение безопасности и защиты окружающей среды"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2 к настоящему приказу;</w:t>
      </w:r>
    </w:p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"Круг лиц, представляющих форму, предназначенную для сбора административных данных на безвозмездной основе: Местные исполнительные органы столицы, областей, городов республиканского значения";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"Инфокоммуникация"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"Круг лиц, представляющих форму, предназначенную для сбора административных данных на безвозмездной основе: Местные исполнительные органы столицы, областей, городов республиканского значения";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"Инфраструктура бытового и ветеринарного обслуживания"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"Круг лиц, представляющих форму, предназначенную для сбора административных данных на безвозмездной основе: Местные исполнительные органы столицы, областей, городов республиканского значения";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"Инфраструктура услуг"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показателям,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применяемым при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услугами (благами)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"Инженерная инфраструктура""</w:t>
            </w:r>
          </w:p>
        </w:tc>
      </w:tr>
    </w:tbl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</w:t>
      </w:r>
      <w:r>
        <w:rPr>
          <w:rFonts w:ascii="Times New Roman"/>
          <w:b/>
          <w:i w:val="false"/>
          <w:color w:val="000000"/>
          <w:sz w:val="28"/>
        </w:rPr>
        <w:t xml:space="preserve">в по направлению "Инженерная инфраструктура"" (Индекс: № СРС – 08, периодичность – годовая) 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"Инженерная инфраструктура"" (далее – Форма).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местными исполнительными органами столицы, областей, городов республиканского значения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или лицом, исполняющим его обязанности.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местными исполнительными органами столицы, областей, городов республиканского значения в Министерство национальной экономики Республики Казахстан: ежегодно, не позднее 15 февраля года, следующего за отчетным годом.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по каждому населенному пункту (далее – НП) следующим образом: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номер по порядку;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"КАТО" – указывается код населенного пункта согласно национальному Классификатору административно-территориальных объектов (КАТО);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"Область" – указывается наименование области согласно национальному Классификатору административно-территориальных объектов (КАТО);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"Район" – указывается наименование района согласно национальному Классификатору административно-территориальных объектов (КАТО);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"Сельский округ" – указывается наименование сельского округа согласно национальному Классификатору административно-территориальных объектов (КАТО);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"Населенный пункт" – указывается наименование конкретного населенного пункта согласно национальному Классификатору административно-территориальных объектов (КАТО);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"Категория, статус НП" – указывается категория населенного пункта (город областного значения, город республиканского значения, город районного значения, села) и статус населенного пункта (моногород, приграничный НП, стратегический НП, опорный СНП, спутниковый СНП);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"Численность населения" указывается актуальная численность населения, проживающая на территории НП;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обеспеченность СРС по направлению "Инженерная инфраструктура" с учетом рекомендуемых объектов и услуг (благ);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10 - указывается обеспеченность СРС по направлению "Инженерная инфраструктура" без учета рекомендуемых объектов и услуг (благ);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указывается обеспеченность объектом и услугой (благом) "Электроснабжение", согласно формуле 11 пункта 5 настоящих Правил;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 – 16 – указывается обеспеченность электроснабжением (расчет по количеству подключенных жилых домов), протяженность сетей электроснабжения, степень износа сетей электроснабжения, протяженность сетей электроснабжения, которые нуждаются в замене, потребность в строительстве новых сетей электроснабжения;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– указываются необходимые объемы финансирования из бюджета на приведение объектов в соответствие СРС, млн. теңге, (заполняется при необходимости);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– указывается 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необходимости);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– указывается уровень обеспеченности объектом и услугой (благом) "Услуги водоснабжения", согласно формуле 12 пункта 5 настоящих Правил;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 – 31 – указывается обеспеченность услугами водоснабжения (по численности населения), наличие централизованного водоснабжения, доля жилых домов, подключенных к централизованному водоснабжению, общее количество домов, протяженность сетей централизованного водоснабжения, степень износа сетей централизованного водоснабжения, протяженность сетей централизованного водоснабжения, которые нуждаются в замене, потребность в строительстве новых сетей водоснабжения, децентрализованное водоснабжение, наличие комплексных блок-модулей, привозной воды, скважин, колодцев;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– указываются необходимые объемы финансирования из бюджета на приведение объектов в соответствие СРС, млн. теңге, (заполняется при необходимости);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– указывается 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необходимости);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– указывается уровень обеспеченности объектом и услугой (благом) "Система централизованного водоотведения", согласно формуле 13 пункта 5 настоящих Правил;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35 – 42 – указывается обеспеченность централизованным водоотведением (по численности населения), общая протяженность сетей водоотведения внутри населенного пункта, степень износа сетей водоотведения, протяженность сетей водоотведения, которые нуждаются в замене, потребность в строительстве новых сетей водоотведения, количество канализационно-очистных сооружений, степень износа канализационно-очистных сооружений, потребность в строительстве канализационно-очистных сооружений;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– указываются необходимые объемы финансирования из бюджета на приведение объектов в соответствие СРС, млн. теңге, (заполняется при необходимости);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– указывается 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необходимости);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"Обеспеченность объектом и услугой (благом) "Централизованное теплоснабжение" – указывается обеспеченность населенного пункта объектом и услугой (благом) "Централизованное теплоснабжение", согласно формуле 14 пункта 5 настоящих Правил;</w:t>
      </w:r>
    </w:p>
    <w:bookmarkEnd w:id="127"/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"Обеспеченность централизованным теплоснабжением (расчет по количеству подключенных жилых домов)" – указывается обеспеченность населенного пункта централизованным теплоснабжением, рассчитанная по количеству подключенных жилых домов;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"Общая протяженность сетей теплоснабжения внутри населенного пункта" – указывается общая протяженность сетей теплоснабжения внутри населенного пункта;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"Степень износа сетей теплоснабжения" – указывается степень износа сетей теплоснабжения;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"Протяженность сетей теплоснабжения, которые нуждаются в замене" – указывается протяженность сетей теплоснабжения в населенном пункте, которые нуждаются в замене;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"Потребность в строительстве новых сетей теплоснабжения внутри населенного пункта" – указывается потребность в строительстве новых сетей теплоснабжения внутри населенного пункта;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Системе региональных стандартов в млн. теңге. Данная графа заполняется при несоответствии объектов;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услуге "Централизованное теплоснабжение". Данная графа заполняется при необходимости;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"Обеспеченность объектом и услугой (благом) "Централизованное газоснабжение*"" – указывается обеспеченность населенного пункта объектом и услугой (благом) "Централизованное газоснабжение*", согласно формуле 15 пункта 5 настоящих Правил;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"Обеспеченность централизованным газоснабжением* (расчет по численности населения)" – указывается уровень обеспеченности централизованным газоснабжением, рассчитанная по численности населения;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"Общая протяженность сетей газоснабжения внутри населенного пункта*" – указывается общая протяженность сетей газоснабжения внутри населенного пункта;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"Степень износа сетей газоснабжения*" – указывается степень износа сетей газоснабжения в населенном пункте;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"Протяженность газопроводных сетей, которые нуждаются в замене*" – указывается протяженность газопроводных сетей в населенном пункте, которые нуждаются в замене;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"Потребность в строительстве новых сетей газоснабжения*" – указывается потребность населенного пункта в строительстве новых сетей газоснабжения;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услуге "Централизованное газоснабжение*". Данная графа заполняется при необходимости;</w:t>
      </w:r>
    </w:p>
    <w:bookmarkEnd w:id="142"/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"Обеспеченность объектом и услугой (благом) "Жилой фонд" – указывается обеспеченность населенного пункта объектом и услугой (благом) "Жилой фонд", согласно формуле 16 пункта 5 настоящих Правил;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"Общая площадь жилого фонда" – указывается общая площадь жилого фонда в населенном пункте;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"Средняя обеспеченность жильем на 1 человека" – указывается средняя обеспеченность жильем на 1 человека по населенному пункту;</w:t>
      </w:r>
    </w:p>
    <w:bookmarkEnd w:id="145"/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"Площадь аварийного и ветхого жилья" – указывается площадь аварийного и ветхого жилья в населенном пункте;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"Потребность в строительстве новой жилой площади" – заполняется потребность населенного пункта в строительстве новой жилой площади;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148"/>
    <w:bookmarkStart w:name="z1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услуге "Жилой фонд". Данная графа заполняется при необходимости.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показателям,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применяемым при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 объектами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(благами)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среды""</w:t>
            </w:r>
          </w:p>
        </w:tc>
      </w:tr>
    </w:tbl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Пояснение по заполнению формы, предназначенной для сбора административных данных </w:t>
      </w:r>
      <w:r>
        <w:rPr>
          <w:rFonts w:ascii="Times New Roman"/>
          <w:b/>
          <w:i w:val="false"/>
          <w:color w:val="000000"/>
          <w:sz w:val="28"/>
        </w:rPr>
        <w:t>"Информация по показателям, применяемым при расчете обе</w:t>
      </w:r>
      <w:r>
        <w:rPr>
          <w:rFonts w:ascii="Times New Roman"/>
          <w:b/>
          <w:i w:val="false"/>
          <w:color w:val="000000"/>
          <w:sz w:val="28"/>
        </w:rPr>
        <w:t xml:space="preserve">спеченности объектами и услугами (благами) Системы региональных стандартов по направлению "Обеспечение безопасности и защиты окружающей среды"" (Индекс: № СРС – 09, периодичность – годовая) 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"Обеспечение безопасности и защиты окружающей среды"" (далее – Форма).</w:t>
      </w:r>
    </w:p>
    <w:bookmarkEnd w:id="152"/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местными исполнительными органами столицы, областей, городов республиканского значения</w:t>
      </w:r>
    </w:p>
    <w:bookmarkEnd w:id="153"/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или лицом, исполняющим его обязанности.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местными исполнительными органами столицы, областей, городов республиканского значения в Министерство национальной экономики Республики Казахстан: ежегодно, не позднее 15 февраля года, следующего за отчетным годом.</w:t>
      </w:r>
    </w:p>
    <w:bookmarkEnd w:id="155"/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по каждому населенному пункту (далее – НП) следующим образом: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номер по порядку;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"КАТО" – указывается код населенного пункта согласно национальному Классификатору административно-территориальных объектов (КАТО);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"Область" – указывается наименование области согласно национальному Классификатору административно-территориальных объектов (КАТО);</w:t>
      </w:r>
    </w:p>
    <w:bookmarkEnd w:id="161"/>
    <w:bookmarkStart w:name="z1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"Район" – указывается наименование района согласно национальному Классификатору административно-территориальных объектов (КАТО);</w:t>
      </w:r>
    </w:p>
    <w:bookmarkEnd w:id="162"/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"Сельский округ" – указывается наименование сельского округа согласно национальному Классификатору административно-территориальных объектов (КАТО);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"Населенный пункт" – указывается наименование населенного пункта согласно национальному Классификатору административно-территориальных объектов (КАТО);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"Категория, статус НП" – указывается категория населенного пункта (город областного значения, город республиканского значения, , город районного значения, села) и статус населенного пункта (моногород, приграничный НП, стратегический НП, центр сельского округа, опорный СНП, спутниковый СНП, поселок);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"Численность населения" – указывается актуальная численность населения, проживающая на территории НП;</w:t>
      </w:r>
    </w:p>
    <w:bookmarkEnd w:id="166"/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"Обеспеченность СРС по направлению "Обеспечение безопасности и защиты окружающей среды" с учетом рекомендуемых объектов и услуг (благ) - указывается обеспеченность населенного пункта по направлению "Обеспечение безопасности и защиты окружающей среды" объектами безопасности и защиты окружающей среды с учетом рекомендуемых объектов и услуг (благ);</w:t>
      </w:r>
    </w:p>
    <w:bookmarkEnd w:id="167"/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"Обеспеченность СРС по направлению "Обеспечение безопасности и защиты окружающей среды" без учета рекомендуемых объектов и услуг (благ) - указывается обеспеченность населенного пункта по направлению "Обеспечение безопасности и защиты окружающей среды" объектами безопасности и защиты окружающей среды без учета рекомендуемых объектов и услуг (благ);</w:t>
      </w:r>
    </w:p>
    <w:bookmarkEnd w:id="168"/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"Обеспеченность объектом и услугой (благом) "Участковый пункт полиции" – указывается обеспеченность населенного пункта объектом и услугой (благом) "Участковый пункт полиции", согласно формуле 1 пункта 5 настоящих Правил;</w:t>
      </w:r>
    </w:p>
    <w:bookmarkEnd w:id="169"/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"Общее количество участковых пунктов полиции" – указывается количество участковых пунктов полиции в населенном пункте;</w:t>
      </w:r>
    </w:p>
    <w:bookmarkEnd w:id="170"/>
    <w:bookmarkStart w:name="z2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"Количество пунктов полиции, требующих капитального ремонта" – указывается общее количество участковых пунктов полиции в населенном пункте, требующих проведения капитального ремонта; </w:t>
      </w:r>
    </w:p>
    <w:bookmarkEnd w:id="171"/>
    <w:bookmarkStart w:name="z2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"Количество пунктов полиции в аварийном состоянии" – указывается количество объектов в аварийном состоянии; </w:t>
      </w:r>
    </w:p>
    <w:bookmarkEnd w:id="172"/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"Потребность в строительстве пунктов полиции" – указывается необходимое количество участковых пунктов полиции, которое требуется построить в населенном пункте;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"Количество пунктов полиции, требующих укомплектования МТБ" – указывается количество участковых пунктов полиции в населенном пункте, требующих укомплектования МТБ;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"Дефицит кадров" – указывается дефицит кадров в пунктах полиции;</w:t>
      </w:r>
    </w:p>
    <w:bookmarkEnd w:id="175"/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"Охват населения обслуживанием участковым пунктом полиции" – указывается доля населения населенного пункта, охваченного услугой "Участковый пункт полиции";</w:t>
      </w:r>
    </w:p>
    <w:bookmarkEnd w:id="176"/>
    <w:bookmarkStart w:name="z2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177"/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услуге "Участковый пункт полиции". Данная графа заполняется при необходимости;</w:t>
      </w:r>
    </w:p>
    <w:bookmarkEnd w:id="178"/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"Обеспеченность объектом и услугой (благом) "Обеспечение безопасности населения путем внедрения видеонаблюдения на социально значимых объектах*"" – указывается обеспеченность населенного пункта объектом и услугой (благом) "Обеспечение безопасности населения путем внедрения видеонаблюдения на социально значимых объектах*", согласно пункту 5 настоящих Правил;</w:t>
      </w:r>
    </w:p>
    <w:bookmarkEnd w:id="179"/>
    <w:bookmarkStart w:name="z2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"Наличие камер видеонаблюдения на социально значимых объектах*" – указывается наличие либо отсутствие в населенном пункте камер видеонаблюдения на социально значимых объектах;</w:t>
      </w:r>
    </w:p>
    <w:bookmarkEnd w:id="180"/>
    <w:bookmarkStart w:name="z2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"Обеспеченность объектом и услугой (благом) "Подразделение противопожарной службы/ пожарные посты или добровольные пожарные формирования" – указывается обеспеченность населенного пункта объектом и услугой (благом) "Подразделение противопожарной службы/пожарные посты или добровольные пожарные формирования", согласно формуле 18 пункта 5 настоящих Правил;</w:t>
      </w:r>
    </w:p>
    <w:bookmarkEnd w:id="181"/>
    <w:bookmarkStart w:name="z2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"Общее количество подразделений противопожарной службы" – указывается общее количество подразделений противопожарной службы в населенном пункте;</w:t>
      </w:r>
    </w:p>
    <w:bookmarkEnd w:id="182"/>
    <w:bookmarkStart w:name="z2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"Потребность в строительстве подразделений противопожарной службы" – указывается количество подразделений противопожарной службы, в которых имеется потребность в строительстве в населенном пункте;</w:t>
      </w:r>
    </w:p>
    <w:bookmarkEnd w:id="183"/>
    <w:bookmarkStart w:name="z2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"Количество подразделений противопожарной службы, соответствующих государственным стандартам" – указывается общее количество подразделений противопожарной службы в населенном пункте, соответствующих государственным стандартам;</w:t>
      </w:r>
    </w:p>
    <w:bookmarkEnd w:id="184"/>
    <w:bookmarkStart w:name="z2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"Доля объектов, которые находятся в аварийном состоянии или требуют капитального ремонта" – указывается удельный вес объектов, находящихся в аварийном состоянии, или требуют капитального ремонта;</w:t>
      </w:r>
    </w:p>
    <w:bookmarkEnd w:id="185"/>
    <w:bookmarkStart w:name="z2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28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 </w:t>
      </w:r>
    </w:p>
    <w:bookmarkEnd w:id="186"/>
    <w:bookmarkStart w:name="z2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услуге "Подразделение противопожарной службы/ пожарные посты или добровольные пожарные формирования". Данная графа заполняется при необходимости;</w:t>
      </w:r>
    </w:p>
    <w:bookmarkEnd w:id="187"/>
    <w:bookmarkStart w:name="z2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30 "Обеспеченность объектом и услугой (благом) "Пожарные посты или добровольные пожарные формирования" – указывается обеспеченность населенного пункта объектом и услугой (благом) "Пожарные посты или добровольные пожарные формирования", согласно формуле 19 пункта 5 настоящих Правил; </w:t>
      </w:r>
    </w:p>
    <w:bookmarkEnd w:id="188"/>
    <w:bookmarkStart w:name="z2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"Общее количество пожарных постов или добровольных пожарных формирований" – указывается общее количество пожарных постов или добровольных пожарных формирований;</w:t>
      </w:r>
    </w:p>
    <w:bookmarkEnd w:id="189"/>
    <w:bookmarkStart w:name="z2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"Потребность в строительстве пожарных постов" – потребность в строительстве пожарных постов;</w:t>
      </w:r>
    </w:p>
    <w:bookmarkEnd w:id="190"/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"Количество объектов, требующих укомплектования материально-технической базы" – указывается количество объектов, требующих укомплектования материально-технической базы;</w:t>
      </w:r>
    </w:p>
    <w:bookmarkEnd w:id="191"/>
    <w:bookmarkStart w:name="z22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192"/>
    <w:bookmarkStart w:name="z23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услуге "Полигоны для захоронения твердых бытовых отходов". Данная графа заполняется при необходимости;</w:t>
      </w:r>
    </w:p>
    <w:bookmarkEnd w:id="193"/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"Обеспеченность объектом и услугой (благом) "Полигоны для захоронения твердых бытовых отходов" – указывается обеспеченность населенного пункта объектом и услугой (благом) "Полигоны для захоронения твердых бытовых отходов", согласно формуле 20 пункта 5 настоящих Правил;</w:t>
      </w:r>
    </w:p>
    <w:bookmarkEnd w:id="194"/>
    <w:bookmarkStart w:name="z23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"Общее количество полигонов для размещения твердых бытовых отходов (свалки)" – указывается количество полигонов для размещения твердых бытовых отходов (свалок) в населенном пункте;</w:t>
      </w:r>
    </w:p>
    <w:bookmarkEnd w:id="195"/>
    <w:bookmarkStart w:name="z23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"Количество полигонов ТБО, соответствующих экологическим и санитарным требованиям и нормам" – указывается количество полигонов ТБО, соответствующих экологическим и санитарным требованиям и нормам;</w:t>
      </w:r>
    </w:p>
    <w:bookmarkEnd w:id="196"/>
    <w:bookmarkStart w:name="z23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"Потребность в полигонах для размещения твердых бытовых отходов" – указывается потребность населенного пункта в полигонах для размещения твердых бытовых отходов;</w:t>
      </w:r>
    </w:p>
    <w:bookmarkEnd w:id="197"/>
    <w:bookmarkStart w:name="z2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198"/>
    <w:bookmarkStart w:name="z2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услуге "Полигоны для захоронения твердых бытовых отходов". Данная графа заполняется при необходимости;</w:t>
      </w:r>
    </w:p>
    <w:bookmarkEnd w:id="199"/>
    <w:bookmarkStart w:name="z23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"Обеспеченность объектом и услугой (благом) "Мусороперерабатывающий комплекс" – указывается обеспеченность населенного пункта объектом и услугой (благом) "Мусороперерабатывающий комплекс", согласно формуле 21 пункта 5 настоящих Правил;</w:t>
      </w:r>
    </w:p>
    <w:bookmarkEnd w:id="200"/>
    <w:bookmarkStart w:name="z23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"Общее количество мусороперерабатывающих комплексов" – указывается количество мусороперерабатывающих комплексов в населенном пункте;</w:t>
      </w:r>
    </w:p>
    <w:bookmarkEnd w:id="201"/>
    <w:bookmarkStart w:name="z2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"Потребность в мусороперерабатывающих комплексах" – указывается потребность населенного пункта в мусороперерабатывающих комплексах;</w:t>
      </w:r>
    </w:p>
    <w:bookmarkEnd w:id="202"/>
    <w:bookmarkStart w:name="z2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203"/>
    <w:bookmarkStart w:name="z24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объекту "Мусороперерабатывающий комплекс". Данная графа заполняется при необходимости;</w:t>
      </w:r>
    </w:p>
    <w:bookmarkEnd w:id="204"/>
    <w:bookmarkStart w:name="z24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"Обеспеченность объектом и услугой (благом) "Мусоросортировочный комплекс" – указывается обеспеченность населенного пункта объектом и услугой (благом) "Мусоросортировочный комплекс", согласно формуле 21 пункта 5 настоящих Правил;</w:t>
      </w:r>
    </w:p>
    <w:bookmarkEnd w:id="205"/>
    <w:bookmarkStart w:name="z24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"Общее количество мусоросортировочных комплексов" – указывается количество мусоросортировочных комплексов в населенном пункте;</w:t>
      </w:r>
    </w:p>
    <w:bookmarkEnd w:id="206"/>
    <w:bookmarkStart w:name="z24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49 "Потребность в мусоросортировочных комплексах" – указывается потребность населенного пункта в мусоросортировочных комплексах; </w:t>
      </w:r>
    </w:p>
    <w:bookmarkEnd w:id="207"/>
    <w:bookmarkStart w:name="z24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208"/>
    <w:bookmarkStart w:name="z24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51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объекту "Мусоросортировочный комплекс". Данная графа заполняется при необходимости; </w:t>
      </w:r>
    </w:p>
    <w:bookmarkEnd w:id="209"/>
    <w:bookmarkStart w:name="z24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"Обеспеченность объектом и услугой (благом) "Контейнеры для раздельного сбора твердых бытовых отходов" – указывается обеспеченность населенного пункта объектом и услугой (благом) "Контейнеры для раздельного сбора твердых бытовых отходов", согласно формуле 21 пункта 5 настоящих Правил;</w:t>
      </w:r>
    </w:p>
    <w:bookmarkEnd w:id="210"/>
    <w:bookmarkStart w:name="z24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"Общее количество контейнеров для раздельного сбора" – указывается количество контейнеров для раздельного сбора в населенном пункте;</w:t>
      </w:r>
    </w:p>
    <w:bookmarkEnd w:id="211"/>
    <w:bookmarkStart w:name="z24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54"Потребность в контейнерах для раздельного сбора" – указывается потребность населенного пункта в контейнерах для раздельного сбора;</w:t>
      </w:r>
    </w:p>
    <w:bookmarkEnd w:id="212"/>
    <w:bookmarkStart w:name="z25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213"/>
    <w:bookmarkStart w:name="z25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56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объекту "Контейнеры для раздельного сбора твердых бытовых отходов". Данная графа заполняется при необходимости; </w:t>
      </w:r>
    </w:p>
    <w:bookmarkEnd w:id="214"/>
    <w:bookmarkStart w:name="z25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"Обеспеченность объектом и услугой (благом) "Контейнеры для сбора твердых бытовых отходов" – указывается обеспеченность населенного пункта объектом и услугой (благом) "Контейнеры для сбора твердых бытовых отходов", согласно формуле 21 пункта 5 настоящих Правил;</w:t>
      </w:r>
    </w:p>
    <w:bookmarkEnd w:id="215"/>
    <w:bookmarkStart w:name="z25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58 "Общее количество контейнеров для сбора твердых бытовых отходов" – указывается количество контейнеров для сбора твердых бытовых отходов в населенном пункте; </w:t>
      </w:r>
    </w:p>
    <w:bookmarkEnd w:id="216"/>
    <w:bookmarkStart w:name="z25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"Потребность в контейнерах для сбора твердых бытовых отходов" – указывается потребность населенного пункта в контейнерах для сбора твердых бытовых отходов;</w:t>
      </w:r>
    </w:p>
    <w:bookmarkEnd w:id="217"/>
    <w:bookmarkStart w:name="z25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218"/>
    <w:bookmarkStart w:name="z25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61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объекту "Контейнеры для сбора твердых бытовых отходов". Данная графа заполняется при необходимости; </w:t>
      </w:r>
    </w:p>
    <w:bookmarkEnd w:id="219"/>
    <w:bookmarkStart w:name="z25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"Обеспеченность объектом и услугой (благом) "Пункты приема вторичного сырья" – указывается обеспеченность населенного пункта объектом и услугой (благом) "Пункты приема вторичного сырья", согласно формуле 21 пункта 5 настоящих Правил;</w:t>
      </w:r>
    </w:p>
    <w:bookmarkEnd w:id="220"/>
    <w:bookmarkStart w:name="z25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"Общее количество пунктов приема вторичного сырья" – указывается количество пунктов приема вторичного сырья в населенном пункте;</w:t>
      </w:r>
    </w:p>
    <w:bookmarkEnd w:id="221"/>
    <w:bookmarkStart w:name="z25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"Потребность в пунктах приема вторичного сырья" – указывается потребность населенного пункта в пунктах приема вторичного сырья;</w:t>
      </w:r>
    </w:p>
    <w:bookmarkEnd w:id="222"/>
    <w:bookmarkStart w:name="z26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223"/>
    <w:bookmarkStart w:name="z26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66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услуге "Пункты приема вторичного сырья". Данная графа заполняется при необходимости; </w:t>
      </w:r>
    </w:p>
    <w:bookmarkEnd w:id="224"/>
    <w:bookmarkStart w:name="z26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"Обеспеченность объектом и услугой (благом) "Скотомогильники (биотермические ямы)" – указывается обеспеченность населенного пункта объектом и услугой (благом) "Скотомогильники (биотермические ямы)", согласно формуле 22 пункта 5 настоящих Правил;</w:t>
      </w:r>
    </w:p>
    <w:bookmarkEnd w:id="225"/>
    <w:bookmarkStart w:name="z26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"Общее количество скотомогильников (биотермических ям)" – указывается количество скотомогильников (биотермических ям) в населенном пункте;</w:t>
      </w:r>
    </w:p>
    <w:bookmarkEnd w:id="226"/>
    <w:bookmarkStart w:name="z26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"Потребность в скотомогильниках (биотермических ямах)" – указывается потребность населенного пункта в скотомогильниках (биотермических ямах);</w:t>
      </w:r>
    </w:p>
    <w:bookmarkEnd w:id="227"/>
    <w:bookmarkStart w:name="z26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228"/>
    <w:bookmarkStart w:name="z26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объекту "Скотомогильники (биотермические ямы)". Данная графа заполняется при необходимости.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показателям,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применяемым при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услугами (благами)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"Инфокоммуникация""</w:t>
            </w:r>
          </w:p>
        </w:tc>
      </w:tr>
    </w:tbl>
    <w:bookmarkStart w:name="z26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</w:t>
      </w:r>
      <w:r>
        <w:rPr>
          <w:rFonts w:ascii="Times New Roman"/>
          <w:b/>
          <w:i w:val="false"/>
          <w:color w:val="000000"/>
          <w:sz w:val="28"/>
        </w:rPr>
        <w:t>ю формы,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</w:t>
      </w:r>
      <w:r>
        <w:rPr>
          <w:rFonts w:ascii="Times New Roman"/>
          <w:b/>
          <w:i w:val="false"/>
          <w:color w:val="000000"/>
          <w:sz w:val="28"/>
        </w:rPr>
        <w:t>Инфокоммуникация</w:t>
      </w:r>
      <w:r>
        <w:rPr>
          <w:rFonts w:ascii="Times New Roman"/>
          <w:b/>
          <w:i w:val="false"/>
          <w:color w:val="000000"/>
          <w:sz w:val="28"/>
        </w:rPr>
        <w:t>"" (Индекс: № СРС – 10, периодичнос</w:t>
      </w:r>
      <w:r>
        <w:rPr>
          <w:rFonts w:ascii="Times New Roman"/>
          <w:b/>
          <w:i w:val="false"/>
          <w:color w:val="000000"/>
          <w:sz w:val="28"/>
        </w:rPr>
        <w:t>ть – годовая)</w:t>
      </w:r>
    </w:p>
    <w:bookmarkEnd w:id="230"/>
    <w:bookmarkStart w:name="z27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231"/>
    <w:bookmarkStart w:name="z27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"Инфокоммуникация"" (далее – Форма).</w:t>
      </w:r>
    </w:p>
    <w:bookmarkEnd w:id="232"/>
    <w:bookmarkStart w:name="z27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местными исполнительными органами столицы, областей, городов республиканского значения</w:t>
      </w:r>
    </w:p>
    <w:bookmarkEnd w:id="233"/>
    <w:bookmarkStart w:name="z27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или лицом, исполняющим его обязанности.</w:t>
      </w:r>
    </w:p>
    <w:bookmarkEnd w:id="234"/>
    <w:bookmarkStart w:name="z27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местными исполнительными органами столицы, областей, городов республиканского значения, в Министерство национальной экономики Республики Казахстан: ежегодно, не позднее 15 февраля года, следующего за отчетным годом.</w:t>
      </w:r>
    </w:p>
    <w:bookmarkEnd w:id="235"/>
    <w:bookmarkStart w:name="z27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36"/>
    <w:bookmarkStart w:name="z27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237"/>
    <w:bookmarkStart w:name="z27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по каждому населенному пункту (далее – НП) следующим образом:</w:t>
      </w:r>
    </w:p>
    <w:bookmarkEnd w:id="238"/>
    <w:bookmarkStart w:name="z27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номер по порядку;</w:t>
      </w:r>
    </w:p>
    <w:bookmarkEnd w:id="239"/>
    <w:bookmarkStart w:name="z27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"КАТО" – указывается код населенного пункта согласно национальному Классификатору административно-территориальных объектов (КАТО);</w:t>
      </w:r>
    </w:p>
    <w:bookmarkEnd w:id="240"/>
    <w:bookmarkStart w:name="z28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"Область" – указывается наименование области согласно национальному Классификатору административно-территориальных объектов (КАТО);</w:t>
      </w:r>
    </w:p>
    <w:bookmarkEnd w:id="241"/>
    <w:bookmarkStart w:name="z28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"Район" – указывается наименование района согласно национальному Классификатору административно-территориальных объектов (КАТО);</w:t>
      </w:r>
    </w:p>
    <w:bookmarkEnd w:id="242"/>
    <w:bookmarkStart w:name="z28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"Сельский округ" – указывается наименование сельского округа согласно национальному Классификатору административно-территориальных объектов (КАТО);</w:t>
      </w:r>
    </w:p>
    <w:bookmarkEnd w:id="243"/>
    <w:bookmarkStart w:name="z28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"Населенный пункт" – указывается наименование конкретного населенного пункта согласно национальному Классификатору административно-территориальных объектов (КАТО);</w:t>
      </w:r>
    </w:p>
    <w:bookmarkEnd w:id="244"/>
    <w:bookmarkStart w:name="z28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"Категория, статус НП" – указывается категория населенного пункта (город областного значения, город республиканского значения, город районного значения, села) и статус населенного пункта (моногород, приграничный НП, стратегический НП, центр сельского округа, опорный СНП, спутниковый СНП, поселок);</w:t>
      </w:r>
    </w:p>
    <w:bookmarkEnd w:id="245"/>
    <w:bookmarkStart w:name="z28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"Численность населения" – указывается актуальная численность населения, проживающая на территории НП;</w:t>
      </w:r>
    </w:p>
    <w:bookmarkEnd w:id="246"/>
    <w:bookmarkStart w:name="z28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"Обеспеченность СРС по направлению "Инфокоммуникация" с учетом рекомендуемых объектов и услуг (благ) - указывается обеспеченность населенного пункта по направлению "Инфокоммуникация" объектами инфокоммуникации с учетом рекомендуемых объектов и услуг (благ);</w:t>
      </w:r>
    </w:p>
    <w:bookmarkEnd w:id="247"/>
    <w:bookmarkStart w:name="z28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"Обеспеченность СРС по направлению "Инфокоммуникация"/ без учета рекомендуемых объектов и услуг (благ) - указывается обеспеченность населенного пункта по направлению "Инфокоммуникация" объектами инфокоммуникации без учета рекомендуемых объектов и услуг (благ);</w:t>
      </w:r>
    </w:p>
    <w:bookmarkEnd w:id="248"/>
    <w:bookmarkStart w:name="z28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"Обеспеченность объектом и услугой (благом) "Отделение почтовой связи" – указывается обеспеченность населенного пункта объектом и услугой (благом) "Отделение почтовой связи", согласно формуле 24 пункта 5 настоящих Правил;</w:t>
      </w:r>
    </w:p>
    <w:bookmarkEnd w:id="249"/>
    <w:bookmarkStart w:name="z28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"Количество отделений почтовой связи" – указывается количество отделений почтовой связи в населенном пункте;</w:t>
      </w:r>
    </w:p>
    <w:bookmarkEnd w:id="250"/>
    <w:bookmarkStart w:name="z29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"Потребность в отделениях почтовой связи" – указывается потребность населенного пункта в отделениях почтовой связи;</w:t>
      </w:r>
    </w:p>
    <w:bookmarkEnd w:id="251"/>
    <w:bookmarkStart w:name="z29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"Охват населения почтовыми услугами" – указывается доля населения в населенном пункте, охваченного почтовыми услугами;</w:t>
      </w:r>
    </w:p>
    <w:bookmarkEnd w:id="252"/>
    <w:bookmarkStart w:name="z29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253"/>
    <w:bookmarkStart w:name="z29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услуге "Отделение почтовой связи". Данная графа заполняется при необходимости;</w:t>
      </w:r>
    </w:p>
    <w:bookmarkEnd w:id="254"/>
    <w:bookmarkStart w:name="z29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"Обеспеченность объектом и услугой (благом) "Фиксированные телефонные линии" – указывается обеспеченность населенного пункта по объекту "Фиксированные телефонные линии", согласно пункту 5 настоящих Правил;</w:t>
      </w:r>
    </w:p>
    <w:bookmarkEnd w:id="255"/>
    <w:bookmarkStart w:name="z29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"Наличие телефонной связи" – указывается наличие либо отсутствие в населенном пункте телефонной связи;</w:t>
      </w:r>
    </w:p>
    <w:bookmarkEnd w:id="256"/>
    <w:bookmarkStart w:name="z29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257"/>
    <w:bookmarkStart w:name="z29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услуге "Фиксированные телефонные линии". Данная графа заполняется при необходимости;</w:t>
      </w:r>
    </w:p>
    <w:bookmarkEnd w:id="258"/>
    <w:bookmarkStart w:name="z29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"Обеспеченность объектом и услугой (благом) "Широкополосный доступ к сети интернет" – указывается обеспеченность населенного пункта объектом и услугой (благом) "Широкополосный доступ к сети интернет", согласно пункту 5 настоящих Правил;</w:t>
      </w:r>
    </w:p>
    <w:bookmarkEnd w:id="259"/>
    <w:bookmarkStart w:name="z29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"Наличие широкополосного доступа к сети интернет" – указывается наличие либо отсутствие в населенном пункте широкополосного доступа к сети интернет;</w:t>
      </w:r>
    </w:p>
    <w:bookmarkEnd w:id="260"/>
    <w:bookmarkStart w:name="z30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"Скорость Интернет-соединения (100 МБ, 50 МБ)" – указываются данные о скорости Интернет-соединения (100 МБ, 50 МБ) в населенном пункте;</w:t>
      </w:r>
    </w:p>
    <w:bookmarkEnd w:id="261"/>
    <w:bookmarkStart w:name="z30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"Охват населения Интернет сетью" – указывается количество населения в населенном пункте, охваченного Интернетсетью;</w:t>
      </w:r>
    </w:p>
    <w:bookmarkEnd w:id="262"/>
    <w:bookmarkStart w:name="z30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263"/>
    <w:bookmarkStart w:name="z30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услуге "Охват населения Интернет сетью". Данная графа заполняется при необходимости;</w:t>
      </w:r>
    </w:p>
    <w:bookmarkEnd w:id="264"/>
    <w:bookmarkStart w:name="z30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"Обеспеченность объектом и услугой (благом) "Сотовая связь (передача голоса)" – указывается обеспеченность населенного пункта объектом и услугой (благом) "Сотовая связь (передача голоса)", согласно пункту 5 настоящих Правил;</w:t>
      </w:r>
    </w:p>
    <w:bookmarkEnd w:id="265"/>
    <w:bookmarkStart w:name="z30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"Наличие сотовой связи" – указывается наличие либо отсутствие в населенном пункте сотовой связи;</w:t>
      </w:r>
    </w:p>
    <w:bookmarkEnd w:id="266"/>
    <w:bookmarkStart w:name="z30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267"/>
    <w:bookmarkStart w:name="z30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услуге "Сотовая связь (передача голоса)". Данная графа заполняется при необходимости;</w:t>
      </w:r>
    </w:p>
    <w:bookmarkEnd w:id="268"/>
    <w:bookmarkStart w:name="z30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"Обеспеченность объектом и услугой (благом) "Wi-Fi зона с открытым доступом*"" – указывается обеспеченность населенного пункта объектом и услугой (благом) "Wi-Fi зона с открытым доступом*", согласно пункту 5 настоящих Правил;</w:t>
      </w:r>
    </w:p>
    <w:bookmarkEnd w:id="269"/>
    <w:bookmarkStart w:name="z30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"Наличие Wi-Fi зоны с открытым доступом" – указывается наличие либо отсутствие в населенном пункте Wi-Fi зоны с открытым доступом.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показателям,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применяемым при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услугами (благами)/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"Инфраструктура бытового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обслуживания""</w:t>
            </w:r>
          </w:p>
        </w:tc>
      </w:tr>
    </w:tbl>
    <w:bookmarkStart w:name="z31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Пояснение по </w:t>
      </w:r>
      <w:r>
        <w:rPr>
          <w:rFonts w:ascii="Times New Roman"/>
          <w:b/>
          <w:i w:val="false"/>
          <w:color w:val="000000"/>
          <w:sz w:val="28"/>
        </w:rPr>
        <w:t>заполнению формы,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"Инфраструктура бытового и ветеринарного об</w:t>
      </w:r>
      <w:r>
        <w:rPr>
          <w:rFonts w:ascii="Times New Roman"/>
          <w:b/>
          <w:i w:val="false"/>
          <w:color w:val="000000"/>
          <w:sz w:val="28"/>
        </w:rPr>
        <w:t>служивания"" (Индекс: № СРС – 11, периодичность – годовая)</w:t>
      </w:r>
    </w:p>
    <w:bookmarkEnd w:id="271"/>
    <w:bookmarkStart w:name="z3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272"/>
    <w:bookmarkStart w:name="z31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"Инфраструктура бытового и ветеринарного обслуживания"" (далее – Форма).</w:t>
      </w:r>
    </w:p>
    <w:bookmarkEnd w:id="273"/>
    <w:bookmarkStart w:name="z3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местными исполнительными органами столицы, областей, городов республиканского значения</w:t>
      </w:r>
    </w:p>
    <w:bookmarkEnd w:id="274"/>
    <w:bookmarkStart w:name="z31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или лицом, исполняющим его обязанности.</w:t>
      </w:r>
    </w:p>
    <w:bookmarkEnd w:id="275"/>
    <w:bookmarkStart w:name="z3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местными исполнительными органами столицы, областей, городов республиканского значения в Министерство национальной экономики Республики Казахстан: ежегодно, не позднее 15 февраля года, следующего за отчетным годом.</w:t>
      </w:r>
    </w:p>
    <w:bookmarkEnd w:id="276"/>
    <w:bookmarkStart w:name="z31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77"/>
    <w:bookmarkStart w:name="z3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278"/>
    <w:bookmarkStart w:name="z3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по каждому населенному пункту (далее – НП) следующим образом:</w:t>
      </w:r>
    </w:p>
    <w:bookmarkEnd w:id="279"/>
    <w:bookmarkStart w:name="z3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номер по порядку;</w:t>
      </w:r>
    </w:p>
    <w:bookmarkEnd w:id="280"/>
    <w:bookmarkStart w:name="z32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"КАТО" – указывается код населенного пункта согласно национальному Классификатору административно-территориальных объектов (КАТО);</w:t>
      </w:r>
    </w:p>
    <w:bookmarkEnd w:id="281"/>
    <w:bookmarkStart w:name="z32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"Область" – указывается наименование области согласно национальному Классификатору административно-территориальных объектов (КАТО);</w:t>
      </w:r>
    </w:p>
    <w:bookmarkEnd w:id="282"/>
    <w:bookmarkStart w:name="z32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"Район" – указывается наименование района согласно национальному Классификатору административно-территориальных объектов (КАТО);</w:t>
      </w:r>
    </w:p>
    <w:bookmarkEnd w:id="283"/>
    <w:bookmarkStart w:name="z3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"Сельский округ" – указывается наименование сельского округа согласно национальному Классификатору административно-территориальных объектов (КАТО);</w:t>
      </w:r>
    </w:p>
    <w:bookmarkEnd w:id="284"/>
    <w:bookmarkStart w:name="z3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"Населенный пункт" – указывается наименование конкретного населенного пункта согласно национальному Классификатору административно-территориальных объектов (КАТО);</w:t>
      </w:r>
    </w:p>
    <w:bookmarkEnd w:id="285"/>
    <w:bookmarkStart w:name="z32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"Категория, статус НП" – указывается категория населенного пункта (город областного значения, город республиканского значения, город районного значения, села) и статус населенного пункта (моногород, приграничный НП, стратегический НП, опорный СНП, спутниковый СНП);</w:t>
      </w:r>
    </w:p>
    <w:bookmarkEnd w:id="286"/>
    <w:bookmarkStart w:name="z32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"Численность населения" – указывается актуальная численность населения, проживающая на территории НП;</w:t>
      </w:r>
    </w:p>
    <w:bookmarkEnd w:id="287"/>
    <w:bookmarkStart w:name="z32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"Обеспеченность СРС по направлению "Инфраструктура бытового и ветеринарного обслуживания"/ с учетом рекомендуемых объектов и услуг (благ) - указывается обеспеченность населенного пункта по направлению "Инфраструктура бытового и ветеринарного обслуживания" объектами инфраструктуры бытового и ветеринарного обслуживания с учетом рекомендуемых объектов и услуг (благ);</w:t>
      </w:r>
    </w:p>
    <w:bookmarkEnd w:id="288"/>
    <w:bookmarkStart w:name="z33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"Обеспеченность СРС по направлению "Инфраструктура бытового и ветеринарного обслуживания"/ без учета рекомендуемых объектов и услуг (благ) - указывается обеспеченность населенного пункта по направлению "Инфраструктура бытового и ветеринарного обслуживания" объектами инфраструктуры бытового и ветеринарного обслуживания без учета рекомендуемых объектов и услуг (благ);</w:t>
      </w:r>
    </w:p>
    <w:bookmarkEnd w:id="289"/>
    <w:bookmarkStart w:name="z33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"Обеспеченность объектом и услугой (благом) "Предприятия бытового обслуживания* (прачечные, химчистки, общественные бани, общественные туалеты)" – указывается обеспеченность населенного пункта объектом и услугой (благом) "Предприятия бытового обслуживания* (прачечные, химчистки, общественные бани, общественные туалеты)", согласно пункту 5 настоящих Правил; </w:t>
      </w:r>
    </w:p>
    <w:bookmarkEnd w:id="290"/>
    <w:bookmarkStart w:name="z33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"Количество предприятий бытового обслуживания*" – указывается количество предприятий бытового обслуживания в населенном пункте;</w:t>
      </w:r>
    </w:p>
    <w:bookmarkEnd w:id="291"/>
    <w:bookmarkStart w:name="z33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"Доля объектов бытового обслуживания, которые требуют капитального ремонта*" – указывается удельный вес объектов бытового обслуживания, которые требуют капитального ремонта от общего количества объектов бытового обслуживания в населенном пункте;</w:t>
      </w:r>
    </w:p>
    <w:bookmarkEnd w:id="292"/>
    <w:bookmarkStart w:name="z33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"Обеспеченность объектом и услугой (благом) "Объекты торговли* (магазины продовольственных товаров, магазины промышленных товаров, торговые павильоны для ведения уличной торговли, фудмаркеты, предприятия общественного питания, магазины кулинарии)"" – указывается обеспеченность населенного пункта объектом и услугой (благом) "Объекты торговли* (магазины продовольственных товаров, магазины промышленных товаров, торговые павильоны для ведения уличной торговли, фудмаркеты, предприятия общественного питания, магазины кулинарии)"", согласно пункту 5 настоящих Правил;</w:t>
      </w:r>
    </w:p>
    <w:bookmarkEnd w:id="293"/>
    <w:bookmarkStart w:name="z33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"Количество объектов торговли*" – указывается общее количество объектов торговли в населенном пункте;</w:t>
      </w:r>
    </w:p>
    <w:bookmarkEnd w:id="294"/>
    <w:bookmarkStart w:name="z33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"Обеспеченность объектом и услугой (благом) "Государственные ветеринарные организации/ветеринарных пунктов" – указывается обеспеченность населенного пункта объектом и услугой (благом) "Государственные ветеринарные организации*", согласно формуле 26 пункта 5 настоящих Правил;</w:t>
      </w:r>
    </w:p>
    <w:bookmarkEnd w:id="295"/>
    <w:bookmarkStart w:name="z33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"Общее количество ветеринарных организаций*/ветеринарных пунктов" – указывается общее количество ветеринарных организаций/ветеринарных пунктов в населенном пункте;</w:t>
      </w:r>
    </w:p>
    <w:bookmarkEnd w:id="296"/>
    <w:bookmarkStart w:name="z33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"Количество ветеринарных организаций/ветеринарных пунктов, требующих капитального ремонта - указывается количество ветеринарных организаций/ветеринарных пунктов в населенном пункте, требующих капитального ремонта;</w:t>
      </w:r>
    </w:p>
    <w:bookmarkEnd w:id="297"/>
    <w:bookmarkStart w:name="z33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"Количество ветеринарных организаций/ветеринарных пунктов в аварийном состоянии" – указывается количество ветеринарных организаций/ветеринарных пунктов, находящихся в аварийном состоянии;</w:t>
      </w:r>
    </w:p>
    <w:bookmarkEnd w:id="298"/>
    <w:bookmarkStart w:name="z34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"Потребность в строительстве новых ветеринарных организаций/ветеринарных пунктов" – указывается необходимая потребность населенного пункта в строительстве новых ветеринарных организаций/ветеринарных пунктов;</w:t>
      </w:r>
    </w:p>
    <w:bookmarkEnd w:id="299"/>
    <w:bookmarkStart w:name="z34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"Количество ветеринарных организаций/ветеринарных пунктов, требующих укомплектования МТБ" – указывается общее количество ветеринарных организаций/ветеринарных пунктов в населенном пункте, требующих укомплектования МТБ;</w:t>
      </w:r>
    </w:p>
    <w:bookmarkEnd w:id="300"/>
    <w:bookmarkStart w:name="z34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"Дефицит кадров" – указывается дефицит кадров в ветеринарных объектах населенного пункта;</w:t>
      </w:r>
    </w:p>
    <w:bookmarkEnd w:id="301"/>
    <w:bookmarkStart w:name="z34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"Необходимые объемы финансирования из бюджета на приведение объектов в соответствие Системе региональных стандартов,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Системе региональных стандартов в млн. теңге. Данная графа заполняется при несоответствии объектов;</w:t>
      </w:r>
    </w:p>
    <w:bookmarkEnd w:id="302"/>
    <w:bookmarkStart w:name="z34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"Потребность в строительстве новых объектов согласно Системе региональных стандартов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услуге "Государственные ветеринарные организации*/ветеринарных пунктов". Данная графа заполняется при необходимости.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показателям,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применяемым при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объектами и услугами (благами)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"Инфраструктура услуг""</w:t>
            </w:r>
          </w:p>
        </w:tc>
      </w:tr>
    </w:tbl>
    <w:bookmarkStart w:name="z34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Пояснение по заполнению формы, предназначенной для сбора </w:t>
      </w:r>
      <w:r>
        <w:rPr>
          <w:rFonts w:ascii="Times New Roman"/>
          <w:b/>
          <w:i w:val="false"/>
          <w:color w:val="000000"/>
          <w:sz w:val="28"/>
        </w:rPr>
        <w:t>административных данных "Информация по показателям, применяемым при расчете обеспеченности объектами и услугами (благами) Системы региональных стандартов по направлению "Инфраструктура услуг"" (Индекс: № СРС – 12, периодичность – годовая)</w:t>
      </w:r>
    </w:p>
    <w:bookmarkEnd w:id="304"/>
    <w:bookmarkStart w:name="z34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</w:t>
      </w:r>
      <w:r>
        <w:rPr>
          <w:rFonts w:ascii="Times New Roman"/>
          <w:b/>
          <w:i w:val="false"/>
          <w:color w:val="000000"/>
          <w:sz w:val="28"/>
        </w:rPr>
        <w:t>ложения</w:t>
      </w:r>
    </w:p>
    <w:bookmarkEnd w:id="305"/>
    <w:bookmarkStart w:name="z34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"Информация по показателям, применяемым при расчете обеспеченности объектами и услугами (благами) СРС по направлению "Инфраструктура услуг"" (далее – Форма).</w:t>
      </w:r>
    </w:p>
    <w:bookmarkEnd w:id="306"/>
    <w:bookmarkStart w:name="z35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местными исполнительными органами столицы, областей, городов республиканского значения</w:t>
      </w:r>
    </w:p>
    <w:bookmarkEnd w:id="307"/>
    <w:bookmarkStart w:name="z35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или лицом, исполняющим его обязанности.</w:t>
      </w:r>
    </w:p>
    <w:bookmarkEnd w:id="308"/>
    <w:bookmarkStart w:name="z35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местными исполнительными органами столицы, областей, городов республиканского значения в Министерство национальной экономики Республики Казахстан: ежегодно, не позднее 15 февраля года, следующего за отчетным годом.</w:t>
      </w:r>
    </w:p>
    <w:bookmarkEnd w:id="309"/>
    <w:bookmarkStart w:name="z35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10"/>
    <w:bookmarkStart w:name="z35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Глава 2.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</w:t>
      </w:r>
    </w:p>
    <w:bookmarkEnd w:id="311"/>
    <w:bookmarkStart w:name="z35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по каждому населенному пункту (далее – НП) следующим образом:</w:t>
      </w:r>
    </w:p>
    <w:bookmarkEnd w:id="312"/>
    <w:bookmarkStart w:name="z35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номер по порядку;</w:t>
      </w:r>
    </w:p>
    <w:bookmarkEnd w:id="313"/>
    <w:bookmarkStart w:name="z35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"КАТО" – указывается код населенного пункта согласно национальному Классификатору административно-территориальных объектов (КАТО);</w:t>
      </w:r>
    </w:p>
    <w:bookmarkEnd w:id="314"/>
    <w:bookmarkStart w:name="z35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"Область" – указывается наименование области согласно национальному Классификатору административно-территориальных объектов (КАТО);</w:t>
      </w:r>
    </w:p>
    <w:bookmarkEnd w:id="315"/>
    <w:bookmarkStart w:name="z35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"Район" – указывается наименование района согласно национальному Классификатору административно-территориальных объектов (КАТО);</w:t>
      </w:r>
    </w:p>
    <w:bookmarkEnd w:id="316"/>
    <w:bookmarkStart w:name="z36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"Сельский округ" – указывается наименование сельского округа согласно национальному Классификатору административно-территориальных объектов (КАТО);</w:t>
      </w:r>
    </w:p>
    <w:bookmarkEnd w:id="317"/>
    <w:bookmarkStart w:name="z36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"Населенный пункт" – указывается наименование конкретного населенного пункта согласно национальному Классификатору административно-территориальных объектов (КАТО);</w:t>
      </w:r>
    </w:p>
    <w:bookmarkEnd w:id="318"/>
    <w:bookmarkStart w:name="z36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"Категория, статус НП" – указывается категория населенного пункта (город областного значения, город республиканского значения, город районного значения, села) и статус населенного пункта (моногород, приграничный НП, стратегический НП, центр сельского округа, опорный СНП, спутниковый СНП, поселок), опорный СНП, спутниковый СНП);</w:t>
      </w:r>
    </w:p>
    <w:bookmarkEnd w:id="319"/>
    <w:bookmarkStart w:name="z36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"Численность населения" – указывается актуальная численность населения, проживающая на территории НП;</w:t>
      </w:r>
    </w:p>
    <w:bookmarkEnd w:id="320"/>
    <w:bookmarkStart w:name="z36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"Обеспеченность СРС по направлению "Инфраструктура услуг"/ с учетом рекомендуемых объектов и услуг (благ) - указывается обеспеченность населенного пункта по направлению "Инфраструктура услуг" объектами инфраструктуры услуг с учетом рекомендуемых объектов и услуг (благ);</w:t>
      </w:r>
    </w:p>
    <w:bookmarkEnd w:id="321"/>
    <w:bookmarkStart w:name="z36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"Обеспеченность СРС по направлению "Инфраструктура услуг"/ без учета рекомендуемых объектов и услуг (благ) - указывается обеспеченность населенного пункта по направлению "Инфраструктура услуг" объектами инфраструктуры услуг без учета рекомендуемых объектов и услуг (благ);</w:t>
      </w:r>
    </w:p>
    <w:bookmarkEnd w:id="322"/>
    <w:bookmarkStart w:name="z36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"Обеспеченность объектом и услугой (благом) "Отдел НАО "Государственная корпорация "Правительство для граждан" – указывается обеспеченность населенного пункта объектом и услугой (благом) "Отдел НАО "Государственная корпорация "Правительство для граждан", согласно пункту 5 настоящих Правил;</w:t>
      </w:r>
    </w:p>
    <w:bookmarkEnd w:id="323"/>
    <w:bookmarkStart w:name="z36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"Наличие филиалов НАО "Государственная корпорация "Правительство для граждан" – указывается наличие либо отсутствие в населенном пункте филиалов "Правительство для граждан";</w:t>
      </w:r>
    </w:p>
    <w:bookmarkEnd w:id="324"/>
    <w:bookmarkStart w:name="z36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325"/>
    <w:bookmarkStart w:name="z36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объекту "Отдел НАО "Государственная корпорация "Правительство для граждан";</w:t>
      </w:r>
    </w:p>
    <w:bookmarkEnd w:id="326"/>
    <w:bookmarkStart w:name="z37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"Обеспеченность объектом и услугой (благом) услугой "Центр обслуживания предпринимателей (ЦОП)" – указывается обеспеченность населенного пункта объектом и услугой (благом) "Центр обслуживания предпринимателей (ЦОП)", согласно пункту 5 настоящих Правил;</w:t>
      </w:r>
    </w:p>
    <w:bookmarkEnd w:id="327"/>
    <w:bookmarkStart w:name="z37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"Наличие Центров обслуживания предпринимателей" – указывается наличие либо отсутствие в населенном пункте "Центров обслуживания предпринимателей";</w:t>
      </w:r>
    </w:p>
    <w:bookmarkEnd w:id="328"/>
    <w:bookmarkStart w:name="z37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"Необходимые объемы финансирования из бюджета на приведение объектов в соответствие СРС, млн. теңге, ориентировочно (заполняется при несоответствии объектов)" – указывается ориентировочный объем необходимого финансирования из бюджета на приведение объектов в соответствие СРС в млн. теңге. Данная графа заполняется при несоответствии объектов;</w:t>
      </w:r>
    </w:p>
    <w:bookmarkEnd w:id="329"/>
    <w:bookmarkStart w:name="z37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"Потребность в строительстве новых объектов согласно СРС и необходимые объемы финансирования из бюджета, количество объектов/млн. теңге (заполняется при необходимости)" – указывается потребность в строительстве новых объектов (ед.) и необходимый объем финансирования (млн. теңге) по услуге "Центр обслуживания предпринимателей (ЦОП)";</w:t>
      </w:r>
    </w:p>
    <w:bookmarkEnd w:id="330"/>
    <w:bookmarkStart w:name="z37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"Обеспеченность объектом и услугой (благом) "Банковские отделения*" – указывается обеспеченность населенного пункта объектом и услугой (благом) "Банковские отделения*", согласно пункту 5 настоящих Правил;</w:t>
      </w:r>
    </w:p>
    <w:bookmarkEnd w:id="331"/>
    <w:bookmarkStart w:name="z37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"Наличие банковских отделений*" – указывается наличие либо отсутствие в населенном пункте "Банковских отделений";</w:t>
      </w:r>
    </w:p>
    <w:bookmarkEnd w:id="332"/>
    <w:bookmarkStart w:name="z37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"Наличие банкоматов*" – указывается наличие либо отсутствие в населенном пункте банкоматов;</w:t>
      </w:r>
    </w:p>
    <w:bookmarkEnd w:id="333"/>
    <w:bookmarkStart w:name="z37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"Обеспеченность объектом и услугой (благом) "Юридические консультации/нотариус*" – указывается обеспеченность населенного пункта объектом и услугой (благом) "Юридические консультации/нотариус*" согласно пункту 5 настоящих Правил;</w:t>
      </w:r>
    </w:p>
    <w:bookmarkEnd w:id="334"/>
    <w:bookmarkStart w:name="z37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"Наличие юридических консультаций/ нотариус*" – указывается наличие либо отсутствие в населенном пункте юридических консультаций/ нотариуса.</w:t>
      </w:r>
    </w:p>
    <w:bookmarkEnd w:id="3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