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6a3f" w14:textId="4b76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Заместителя Премьер-Министра –Министра национальной экономики Республики Казахстан от 27 мая 2025 года № 37 "Об утверждении Методики расчетов прогнозных сведений о состоянии государственных финансов и Методики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20 марта 2026 года № 20</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i w:val="false"/>
          <w:color w:val="000000"/>
          <w:sz w:val="28"/>
        </w:rPr>
        <w:t xml:space="preserve">Введение в действие см. </w:t>
      </w:r>
      <w:r>
        <w:rPr>
          <w:rFonts w:ascii="Times New Roman"/>
          <w:b w:val="false"/>
          <w:i w:val="false"/>
          <w:color w:val="000000"/>
          <w:sz w:val="28"/>
        </w:rPr>
        <w:t>п. 4</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27 мая 2025 года № 37 "Об утверждении Методики расчетов прогнозных сведений о состоянии государственных финансов и Методики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 следующие изменения и дополнение:</w:t>
      </w:r>
    </w:p>
    <w:bookmarkEnd w:id="2"/>
    <w:bookmarkStart w:name="z7" w:id="3"/>
    <w:p>
      <w:pPr>
        <w:spacing w:after="0"/>
        <w:ind w:left="0"/>
        <w:jc w:val="both"/>
      </w:pPr>
      <w:r>
        <w:rPr>
          <w:rFonts w:ascii="Times New Roman"/>
          <w:b w:val="false"/>
          <w:i w:val="false"/>
          <w:color w:val="000000"/>
          <w:sz w:val="28"/>
        </w:rPr>
        <w:t>
      заголовок изложить в следующей редакции:</w:t>
      </w:r>
    </w:p>
    <w:bookmarkEnd w:id="3"/>
    <w:bookmarkStart w:name="z8" w:id="4"/>
    <w:p>
      <w:pPr>
        <w:spacing w:after="0"/>
        <w:ind w:left="0"/>
        <w:jc w:val="both"/>
      </w:pPr>
      <w:r>
        <w:rPr>
          <w:rFonts w:ascii="Times New Roman"/>
          <w:b w:val="false"/>
          <w:i w:val="false"/>
          <w:color w:val="000000"/>
          <w:sz w:val="28"/>
        </w:rPr>
        <w:t>
      "Об утверждении Методики расчетов прогнозных сведений о состоянии государственных финансов и Методики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предоставления государственных гарантий по поддержке частного предпринимательства,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10"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Методику</w:t>
      </w:r>
      <w:r>
        <w:rPr>
          <w:rFonts w:ascii="Times New Roman"/>
          <w:b w:val="false"/>
          <w:i w:val="false"/>
          <w:color w:val="000000"/>
          <w:sz w:val="28"/>
        </w:rPr>
        <w:t xml:space="preserve">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предоставления государственных гарантий по поддержке частного предпринимательства,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 утвержденной указанным приказом:</w:t>
      </w:r>
    </w:p>
    <w:bookmarkEnd w:id="6"/>
    <w:bookmarkStart w:name="z12" w:id="7"/>
    <w:p>
      <w:pPr>
        <w:spacing w:after="0"/>
        <w:ind w:left="0"/>
        <w:jc w:val="both"/>
      </w:pPr>
      <w:r>
        <w:rPr>
          <w:rFonts w:ascii="Times New Roman"/>
          <w:b w:val="false"/>
          <w:i w:val="false"/>
          <w:color w:val="000000"/>
          <w:sz w:val="28"/>
        </w:rPr>
        <w:t>
      заголовок изложить в следующей редакции:</w:t>
      </w:r>
    </w:p>
    <w:bookmarkEnd w:id="7"/>
    <w:bookmarkStart w:name="z13" w:id="8"/>
    <w:p>
      <w:pPr>
        <w:spacing w:after="0"/>
        <w:ind w:left="0"/>
        <w:jc w:val="both"/>
      </w:pPr>
      <w:r>
        <w:rPr>
          <w:rFonts w:ascii="Times New Roman"/>
          <w:b w:val="false"/>
          <w:i w:val="false"/>
          <w:color w:val="000000"/>
          <w:sz w:val="28"/>
        </w:rPr>
        <w:t>
      "Методика расчетов прогнозных сведений о состоянии государственных финансов и Методики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предоставления государственных гарантий по поддержке частного предпринимательства,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"1. Настоящая Методика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предоставления государственных гарантий по поддержке частного предпринимательства,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определения критериев и формирования перечня субъектов квазигосударственного сектора, которым предоставлено право привлечения внешних займов (далее – Методика) разработана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137 и </w:t>
      </w:r>
      <w:r>
        <w:rPr>
          <w:rFonts w:ascii="Times New Roman"/>
          <w:b w:val="false"/>
          <w:i w:val="false"/>
          <w:color w:val="000000"/>
          <w:sz w:val="28"/>
        </w:rPr>
        <w:t>пунктом 3</w:t>
      </w:r>
      <w:r>
        <w:rPr>
          <w:rFonts w:ascii="Times New Roman"/>
          <w:b w:val="false"/>
          <w:i w:val="false"/>
          <w:color w:val="000000"/>
          <w:sz w:val="28"/>
        </w:rPr>
        <w:t xml:space="preserve"> статьи 146 Бюджетного кодекса Республики Казахстан в рамках ограничений, установленных </w:t>
      </w:r>
      <w:r>
        <w:rPr>
          <w:rFonts w:ascii="Times New Roman"/>
          <w:b w:val="false"/>
          <w:i w:val="false"/>
          <w:color w:val="000000"/>
          <w:sz w:val="28"/>
        </w:rPr>
        <w:t>Концепцией</w:t>
      </w:r>
      <w:r>
        <w:rPr>
          <w:rFonts w:ascii="Times New Roman"/>
          <w:b w:val="false"/>
          <w:i w:val="false"/>
          <w:color w:val="000000"/>
          <w:sz w:val="28"/>
        </w:rPr>
        <w:t xml:space="preserve"> управления государственными финансами Республики Казахстан до 2030 года, утвержденной Указом Президента Республики Казахстан от 10 сентября 2022 года № 1005 (далее – Концепция), за исключением сделок по внутригрупповому финансированию и негосударственных займов, обеспеченных государственной гарантией.</w:t>
      </w:r>
    </w:p>
    <w:bookmarkEnd w:id="9"/>
    <w:bookmarkStart w:name="z16" w:id="10"/>
    <w:p>
      <w:pPr>
        <w:spacing w:after="0"/>
        <w:ind w:left="0"/>
        <w:jc w:val="both"/>
      </w:pPr>
      <w:r>
        <w:rPr>
          <w:rFonts w:ascii="Times New Roman"/>
          <w:b w:val="false"/>
          <w:i w:val="false"/>
          <w:color w:val="000000"/>
          <w:sz w:val="28"/>
        </w:rPr>
        <w:t xml:space="preserve">
      2. Сроки и периоды определения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предоставления государственных гарантий по поддержке частного предпринимательства,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зависит от разработки долгосрочного прогноза развития Республики Казахстан и прогноза социально-экономического развития Республики Казахстан согласно </w:t>
      </w:r>
      <w:r>
        <w:rPr>
          <w:rFonts w:ascii="Times New Roman"/>
          <w:b w:val="false"/>
          <w:i w:val="false"/>
          <w:color w:val="000000"/>
          <w:sz w:val="28"/>
        </w:rPr>
        <w:t>пунктам 6</w:t>
      </w:r>
      <w:r>
        <w:rPr>
          <w:rFonts w:ascii="Times New Roman"/>
          <w:b w:val="false"/>
          <w:i w:val="false"/>
          <w:color w:val="000000"/>
          <w:sz w:val="28"/>
        </w:rPr>
        <w:t xml:space="preserve"> статей 50 и </w:t>
      </w:r>
      <w:r>
        <w:rPr>
          <w:rFonts w:ascii="Times New Roman"/>
          <w:b w:val="false"/>
          <w:i w:val="false"/>
          <w:color w:val="000000"/>
          <w:sz w:val="28"/>
        </w:rPr>
        <w:t>51</w:t>
      </w:r>
      <w:r>
        <w:rPr>
          <w:rFonts w:ascii="Times New Roman"/>
          <w:b w:val="false"/>
          <w:i w:val="false"/>
          <w:color w:val="000000"/>
          <w:sz w:val="28"/>
        </w:rPr>
        <w:t xml:space="preserve"> Бюджетного кодекса.</w:t>
      </w:r>
    </w:p>
    <w:bookmarkEnd w:id="10"/>
    <w:bookmarkStart w:name="z17" w:id="11"/>
    <w:p>
      <w:pPr>
        <w:spacing w:after="0"/>
        <w:ind w:left="0"/>
        <w:jc w:val="both"/>
      </w:pPr>
      <w:r>
        <w:rPr>
          <w:rFonts w:ascii="Times New Roman"/>
          <w:b w:val="false"/>
          <w:i w:val="false"/>
          <w:color w:val="000000"/>
          <w:sz w:val="28"/>
        </w:rPr>
        <w:t>
      3. Размер определенных лимитов правительственного долга, долга местных исполнительных органов, предоставления государственных гарантий, предоставления государственных гарантий по поддержке экспорта, предоставления государственных гарантий по поддержке частного предпринимательства, государственных обязательств по проектам государственно-частного партнерства Правительства Республики Казахстан, государственных обязательств по проектам государственно-частного партнерства местных исполнительных органов, предоставления поручительств государства, внешнего долга субъектов квазигосударственного сектора округляется с точностью до тысячи тенге.";</w:t>
      </w:r>
    </w:p>
    <w:bookmarkEnd w:id="11"/>
    <w:bookmarkStart w:name="z18" w:id="12"/>
    <w:p>
      <w:pPr>
        <w:spacing w:after="0"/>
        <w:ind w:left="0"/>
        <w:jc w:val="both"/>
      </w:pPr>
      <w:r>
        <w:rPr>
          <w:rFonts w:ascii="Times New Roman"/>
          <w:b w:val="false"/>
          <w:i w:val="false"/>
          <w:color w:val="000000"/>
          <w:sz w:val="28"/>
        </w:rPr>
        <w:t>
      дополнить параграфом 4-1 следующего содержания:</w:t>
      </w:r>
    </w:p>
    <w:bookmarkEnd w:id="12"/>
    <w:bookmarkStart w:name="z19" w:id="13"/>
    <w:p>
      <w:pPr>
        <w:spacing w:after="0"/>
        <w:ind w:left="0"/>
        <w:jc w:val="both"/>
      </w:pPr>
      <w:r>
        <w:rPr>
          <w:rFonts w:ascii="Times New Roman"/>
          <w:b w:val="false"/>
          <w:i w:val="false"/>
          <w:color w:val="000000"/>
          <w:sz w:val="28"/>
        </w:rPr>
        <w:t>
      "Параграф 4-1. Определение лимита предоставления государственных гарантий по поддержке частного предпринимательства</w:t>
      </w:r>
    </w:p>
    <w:bookmarkEnd w:id="13"/>
    <w:bookmarkStart w:name="z20" w:id="14"/>
    <w:p>
      <w:pPr>
        <w:spacing w:after="0"/>
        <w:ind w:left="0"/>
        <w:jc w:val="both"/>
      </w:pPr>
      <w:r>
        <w:rPr>
          <w:rFonts w:ascii="Times New Roman"/>
          <w:b w:val="false"/>
          <w:i w:val="false"/>
          <w:color w:val="000000"/>
          <w:sz w:val="28"/>
        </w:rPr>
        <w:t>
      13-1. Лимит предоставления государственных гарантий по поддержке частного предпринимательства на соответствующий год рассчитывается исходя из объема сформированного резерва под гарантирование и размера собственного капитала специального фонда развития частного предпринимательства на период действия государственных гарантий по поддержке частного предпринимательства, который не должен превышать пятнадцати процентов:</w:t>
      </w:r>
    </w:p>
    <w:bookmarkEnd w:id="14"/>
    <w:bookmarkStart w:name="z21" w:id="15"/>
    <w:p>
      <w:pPr>
        <w:spacing w:after="0"/>
        <w:ind w:left="0"/>
        <w:jc w:val="both"/>
      </w:pPr>
      <w:r>
        <w:rPr>
          <w:rFonts w:ascii="Times New Roman"/>
          <w:b w:val="false"/>
          <w:i w:val="false"/>
          <w:color w:val="000000"/>
          <w:sz w:val="28"/>
        </w:rPr>
        <w:t>
      LGG = (GR+ОС)*15%, где:</w:t>
      </w:r>
    </w:p>
    <w:bookmarkEnd w:id="15"/>
    <w:bookmarkStart w:name="z22" w:id="16"/>
    <w:p>
      <w:pPr>
        <w:spacing w:after="0"/>
        <w:ind w:left="0"/>
        <w:jc w:val="both"/>
      </w:pPr>
      <w:r>
        <w:rPr>
          <w:rFonts w:ascii="Times New Roman"/>
          <w:b w:val="false"/>
          <w:i w:val="false"/>
          <w:color w:val="000000"/>
          <w:sz w:val="28"/>
        </w:rPr>
        <w:t>
      LGG – лимит предоставления государственных гарантий по поддержке частного предпринимательства на соответствующий финансовый год;</w:t>
      </w:r>
    </w:p>
    <w:bookmarkEnd w:id="16"/>
    <w:bookmarkStart w:name="z23" w:id="17"/>
    <w:p>
      <w:pPr>
        <w:spacing w:after="0"/>
        <w:ind w:left="0"/>
        <w:jc w:val="both"/>
      </w:pPr>
      <w:r>
        <w:rPr>
          <w:rFonts w:ascii="Times New Roman"/>
          <w:b w:val="false"/>
          <w:i w:val="false"/>
          <w:color w:val="000000"/>
          <w:sz w:val="28"/>
        </w:rPr>
        <w:t>
      GR – размер сформированного резерва под гарантирование проектов с суммой финансирования свыше 7 (семи) миллиардов тенге;</w:t>
      </w:r>
    </w:p>
    <w:bookmarkEnd w:id="17"/>
    <w:bookmarkStart w:name="z24" w:id="18"/>
    <w:p>
      <w:pPr>
        <w:spacing w:after="0"/>
        <w:ind w:left="0"/>
        <w:jc w:val="both"/>
      </w:pPr>
      <w:r>
        <w:rPr>
          <w:rFonts w:ascii="Times New Roman"/>
          <w:b w:val="false"/>
          <w:i w:val="false"/>
          <w:color w:val="000000"/>
          <w:sz w:val="28"/>
        </w:rPr>
        <w:t>
      OC – собственный капитал специального фонда развития частного предпринимательства.</w:t>
      </w:r>
    </w:p>
    <w:bookmarkEnd w:id="18"/>
    <w:bookmarkStart w:name="z25" w:id="19"/>
    <w:p>
      <w:pPr>
        <w:spacing w:after="0"/>
        <w:ind w:left="0"/>
        <w:jc w:val="both"/>
      </w:pPr>
      <w:r>
        <w:rPr>
          <w:rFonts w:ascii="Times New Roman"/>
          <w:b w:val="false"/>
          <w:i w:val="false"/>
          <w:color w:val="000000"/>
          <w:sz w:val="28"/>
        </w:rPr>
        <w:t>
      13-2. Уточнение суммы лимита предоставления государственных гарантий по поддержке частного предпринимательства производится в случае изменения бюджетных параметров, при уточнении республиканского бюджета на текущий финансовый год в течение соответствующего финансового года.".</w:t>
      </w:r>
    </w:p>
    <w:bookmarkEnd w:id="19"/>
    <w:bookmarkStart w:name="z26" w:id="20"/>
    <w:p>
      <w:pPr>
        <w:spacing w:after="0"/>
        <w:ind w:left="0"/>
        <w:jc w:val="both"/>
      </w:pPr>
      <w:r>
        <w:rPr>
          <w:rFonts w:ascii="Times New Roman"/>
          <w:b w:val="false"/>
          <w:i w:val="false"/>
          <w:color w:val="000000"/>
          <w:sz w:val="28"/>
        </w:rPr>
        <w:t>
      2. Департаменту бюджетной политики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его первого официального опубликования.</w:t>
      </w:r>
    </w:p>
    <w:bookmarkEnd w:id="20"/>
    <w:bookmarkStart w:name="z27" w:id="21"/>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21"/>
    <w:bookmarkStart w:name="z28" w:id="22"/>
    <w:p>
      <w:pPr>
        <w:spacing w:after="0"/>
        <w:ind w:left="0"/>
        <w:jc w:val="both"/>
      </w:pPr>
      <w:r>
        <w:rPr>
          <w:rFonts w:ascii="Times New Roman"/>
          <w:b w:val="false"/>
          <w:i w:val="false"/>
          <w:color w:val="000000"/>
          <w:sz w:val="28"/>
        </w:rPr>
        <w:t>
      4. Настоящий приказ вводится в действие c 12 июля 2026 года и подлежит официальному опубликованию.</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30" w:id="23"/>
      <w:r>
        <w:rPr>
          <w:rFonts w:ascii="Times New Roman"/>
          <w:b w:val="false"/>
          <w:i w:val="false"/>
          <w:color w:val="000000"/>
          <w:sz w:val="28"/>
        </w:rPr>
        <w:t>
      "СОГЛАСОВАНО"</w:t>
      </w:r>
    </w:p>
    <w:bookmarkEnd w:id="2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