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a69c" w14:textId="4c5a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Наурзумскому району</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29 января 2026 года № 9</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акимат Наурзумского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Наурзумском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Наурзумского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Наурзумского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Наурзумскому району</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Наурзумском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1"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2"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3" w:id="14"/>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5"/>
    <w:bookmarkStart w:name="z25" w:id="16"/>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6"/>
    <w:bookmarkStart w:name="z26" w:id="17"/>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7" w:id="18"/>
    <w:p>
      <w:pPr>
        <w:spacing w:after="0"/>
        <w:ind w:left="0"/>
        <w:jc w:val="both"/>
      </w:pPr>
      <w:r>
        <w:rPr>
          <w:rFonts w:ascii="Times New Roman"/>
          <w:b w:val="false"/>
          <w:i w:val="false"/>
          <w:color w:val="000000"/>
          <w:sz w:val="28"/>
        </w:rPr>
        <w:t>
      6)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9" w:id="20"/>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0"/>
    <w:bookmarkStart w:name="z30" w:id="21"/>
    <w:p>
      <w:pPr>
        <w:spacing w:after="0"/>
        <w:ind w:left="0"/>
        <w:jc w:val="both"/>
      </w:pPr>
      <w:r>
        <w:rPr>
          <w:rFonts w:ascii="Times New Roman"/>
          <w:b w:val="false"/>
          <w:i w:val="false"/>
          <w:color w:val="000000"/>
          <w:sz w:val="28"/>
        </w:rPr>
        <w:t xml:space="preserve">
      8-1)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1"/>
    <w:bookmarkStart w:name="z31" w:id="22"/>
    <w:p>
      <w:pPr>
        <w:spacing w:after="0"/>
        <w:ind w:left="0"/>
        <w:jc w:val="both"/>
      </w:pPr>
      <w:r>
        <w:rPr>
          <w:rFonts w:ascii="Times New Roman"/>
          <w:b w:val="false"/>
          <w:i w:val="false"/>
          <w:color w:val="000000"/>
          <w:sz w:val="28"/>
        </w:rPr>
        <w:t>
      8-2)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2"/>
    <w:bookmarkStart w:name="z32" w:id="23"/>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3"/>
    <w:bookmarkStart w:name="z33" w:id="24"/>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водных ресурсов;</w:t>
      </w:r>
    </w:p>
    <w:bookmarkEnd w:id="24"/>
    <w:bookmarkStart w:name="z34" w:id="25"/>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5"/>
    <w:bookmarkStart w:name="z35" w:id="26"/>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6"/>
    <w:bookmarkStart w:name="z36" w:id="27"/>
    <w:p>
      <w:pPr>
        <w:spacing w:after="0"/>
        <w:ind w:left="0"/>
        <w:jc w:val="both"/>
      </w:pPr>
      <w:r>
        <w:rPr>
          <w:rFonts w:ascii="Times New Roman"/>
          <w:b w:val="false"/>
          <w:i w:val="false"/>
          <w:color w:val="000000"/>
          <w:sz w:val="28"/>
        </w:rPr>
        <w:t>
      13)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7"/>
    <w:bookmarkStart w:name="z37" w:id="28"/>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8" w:id="29"/>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9"/>
    <w:bookmarkStart w:name="z39" w:id="30"/>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0"/>
    <w:bookmarkStart w:name="z40" w:id="31"/>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1"/>
    <w:bookmarkStart w:name="z41" w:id="32"/>
    <w:p>
      <w:pPr>
        <w:spacing w:after="0"/>
        <w:ind w:left="0"/>
        <w:jc w:val="both"/>
      </w:pPr>
      <w:r>
        <w:rPr>
          <w:rFonts w:ascii="Times New Roman"/>
          <w:b w:val="false"/>
          <w:i w:val="false"/>
          <w:color w:val="000000"/>
          <w:sz w:val="28"/>
        </w:rPr>
        <w:t>
      16-2)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2"/>
    <w:bookmarkStart w:name="z42" w:id="33"/>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3"/>
    <w:bookmarkStart w:name="z43" w:id="34"/>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4"/>
    <w:bookmarkStart w:name="z44" w:id="35"/>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5"/>
    <w:bookmarkStart w:name="z45" w:id="36"/>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6"/>
    <w:bookmarkStart w:name="z46" w:id="37"/>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37"/>
    <w:bookmarkStart w:name="z47" w:id="3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8"/>
    <w:bookmarkStart w:name="z48" w:id="3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9"/>
    <w:bookmarkStart w:name="z49" w:id="4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0"/>
    <w:bookmarkStart w:name="z50" w:id="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1"/>
    <w:bookmarkStart w:name="z51" w:id="4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2"/>
    <w:bookmarkStart w:name="z52"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3"/>
    <w:bookmarkStart w:name="z53"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4"/>
    <w:bookmarkStart w:name="z54" w:id="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5"/>
    <w:bookmarkStart w:name="z55" w:id="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6"/>
    <w:bookmarkStart w:name="z56" w:id="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7"/>
    <w:bookmarkStart w:name="z57" w:id="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8"/>
    <w:bookmarkStart w:name="z58" w:id="4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9"/>
    <w:bookmarkStart w:name="z59" w:id="5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60" w:id="5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1" w:id="5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2"/>
    <w:bookmarkStart w:name="z62" w:id="53"/>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3"/>
    <w:bookmarkStart w:name="z63" w:id="5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4"/>
    <w:bookmarkStart w:name="z64" w:id="55"/>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5"/>
    <w:bookmarkStart w:name="z65"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6" w:id="57"/>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7"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8"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69" w:id="60"/>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0"/>
    <w:bookmarkStart w:name="z70" w:id="6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1" w:id="6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bookmarkStart w:name="z72" w:id="63"/>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3"/>
    <w:bookmarkStart w:name="z73" w:id="64"/>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4"/>
    <w:bookmarkStart w:name="z74" w:id="6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5"/>
    <w:bookmarkStart w:name="z75" w:id="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6"/>
    <w:bookmarkStart w:name="z76" w:id="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7"/>
    <w:bookmarkStart w:name="z77" w:id="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8"/>
    <w:bookmarkStart w:name="z78" w:id="6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9"/>
    <w:bookmarkStart w:name="z79" w:id="70"/>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0"/>
    <w:bookmarkStart w:name="z80" w:id="71"/>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1"/>
    <w:bookmarkStart w:name="z81" w:id="72"/>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2"/>
    <w:bookmarkStart w:name="z82" w:id="73"/>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3"/>
    <w:bookmarkStart w:name="z83" w:id="7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6"/>
    <w:bookmarkStart w:name="z86" w:id="77"/>
    <w:p>
      <w:pPr>
        <w:spacing w:after="0"/>
        <w:ind w:left="0"/>
        <w:jc w:val="both"/>
      </w:pPr>
      <w:r>
        <w:rPr>
          <w:rFonts w:ascii="Times New Roman"/>
          <w:b w:val="false"/>
          <w:i w:val="false"/>
          <w:color w:val="000000"/>
          <w:sz w:val="28"/>
        </w:rPr>
        <w:t>
      20. Потребитель:</w:t>
      </w:r>
    </w:p>
    <w:bookmarkEnd w:id="77"/>
    <w:bookmarkStart w:name="z87" w:id="7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8"/>
    <w:bookmarkStart w:name="z88" w:id="79"/>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9"/>
    <w:bookmarkStart w:name="z89" w:id="80"/>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0"/>
    <w:bookmarkStart w:name="z90" w:id="81"/>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1"/>
    <w:bookmarkStart w:name="z91" w:id="82"/>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2"/>
    <w:bookmarkStart w:name="z92" w:id="83"/>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3"/>
    <w:bookmarkStart w:name="z93" w:id="84"/>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4"/>
    <w:bookmarkStart w:name="z94" w:id="85"/>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5"/>
    <w:bookmarkStart w:name="z95" w:id="86"/>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6"/>
    <w:bookmarkStart w:name="z96" w:id="87"/>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7"/>
    <w:bookmarkStart w:name="z97" w:id="88"/>
    <w:p>
      <w:pPr>
        <w:spacing w:after="0"/>
        <w:ind w:left="0"/>
        <w:jc w:val="both"/>
      </w:pPr>
      <w:r>
        <w:rPr>
          <w:rFonts w:ascii="Times New Roman"/>
          <w:b w:val="false"/>
          <w:i w:val="false"/>
          <w:color w:val="000000"/>
          <w:sz w:val="28"/>
        </w:rPr>
        <w:t>
      21. Поставщик:</w:t>
      </w:r>
    </w:p>
    <w:bookmarkEnd w:id="88"/>
    <w:bookmarkStart w:name="z98" w:id="8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9"/>
    <w:bookmarkStart w:name="z99" w:id="90"/>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0"/>
    <w:bookmarkStart w:name="z100" w:id="9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1"/>
    <w:bookmarkStart w:name="z101" w:id="9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2"/>
    <w:bookmarkStart w:name="z102" w:id="9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3"/>
    <w:bookmarkStart w:name="z103" w:id="9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4"/>
    <w:bookmarkStart w:name="z104" w:id="9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5"/>
    <w:bookmarkStart w:name="z105" w:id="96"/>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6"/>
    <w:bookmarkStart w:name="z106" w:id="9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7"/>
    <w:bookmarkStart w:name="z107" w:id="98"/>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8"/>
    <w:bookmarkStart w:name="z108" w:id="99"/>
    <w:p>
      <w:pPr>
        <w:spacing w:after="0"/>
        <w:ind w:left="0"/>
        <w:jc w:val="left"/>
      </w:pPr>
      <w:r>
        <w:rPr>
          <w:rFonts w:ascii="Times New Roman"/>
          <w:b/>
          <w:i w:val="false"/>
          <w:color w:val="000000"/>
        </w:rPr>
        <w:t xml:space="preserve"> Глава 4. Порядок расчета и оплаты коммунальных услуг</w:t>
      </w:r>
    </w:p>
    <w:bookmarkEnd w:id="99"/>
    <w:bookmarkStart w:name="z109" w:id="10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0"/>
    <w:bookmarkStart w:name="z110" w:id="101"/>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1"/>
    <w:bookmarkStart w:name="z111" w:id="102"/>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2"/>
    <w:bookmarkStart w:name="z112" w:id="103"/>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3"/>
    <w:bookmarkStart w:name="z113" w:id="104"/>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4"/>
    <w:bookmarkStart w:name="z114" w:id="105"/>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5"/>
    <w:bookmarkStart w:name="z115" w:id="10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6"/>
    <w:bookmarkStart w:name="z116" w:id="10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7"/>
    <w:bookmarkStart w:name="z117" w:id="108"/>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8"/>
    <w:bookmarkStart w:name="z118" w:id="10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9"/>
    <w:bookmarkStart w:name="z119" w:id="110"/>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0"/>
    <w:bookmarkStart w:name="z120" w:id="111"/>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1"/>
    <w:bookmarkStart w:name="z121" w:id="112"/>
    <w:p>
      <w:pPr>
        <w:spacing w:after="0"/>
        <w:ind w:left="0"/>
        <w:jc w:val="left"/>
      </w:pPr>
      <w:r>
        <w:rPr>
          <w:rFonts w:ascii="Times New Roman"/>
          <w:b/>
          <w:i w:val="false"/>
          <w:color w:val="000000"/>
        </w:rPr>
        <w:t xml:space="preserve"> Глава 4-1. Требования и порядок работы ЕРЦ.</w:t>
      </w:r>
    </w:p>
    <w:bookmarkEnd w:id="112"/>
    <w:bookmarkStart w:name="z122" w:id="113"/>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3"/>
    <w:bookmarkStart w:name="z123" w:id="114"/>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4"/>
    <w:bookmarkStart w:name="z124" w:id="115"/>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5"/>
    <w:bookmarkStart w:name="z125" w:id="116"/>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bookmarkEnd w:id="117"/>
    <w:bookmarkStart w:name="z127" w:id="118"/>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8"/>
    <w:bookmarkStart w:name="z128" w:id="119"/>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bookmarkEnd w:id="119"/>
    <w:bookmarkStart w:name="z129" w:id="120"/>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0"/>
    <w:bookmarkStart w:name="z130" w:id="121"/>
    <w:p>
      <w:pPr>
        <w:spacing w:after="0"/>
        <w:ind w:left="0"/>
        <w:jc w:val="both"/>
      </w:pPr>
      <w:r>
        <w:rPr>
          <w:rFonts w:ascii="Times New Roman"/>
          <w:b w:val="false"/>
          <w:i w:val="false"/>
          <w:color w:val="000000"/>
          <w:sz w:val="28"/>
        </w:rPr>
        <w:t>
      30-9. В случае выявления несоответствий ЕРЦ инициирует:</w:t>
      </w:r>
    </w:p>
    <w:bookmarkEnd w:id="121"/>
    <w:bookmarkStart w:name="z131" w:id="12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2"/>
    <w:bookmarkStart w:name="z132" w:id="12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3"/>
    <w:bookmarkStart w:name="z133" w:id="12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4"/>
    <w:bookmarkStart w:name="z134" w:id="125"/>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5"/>
    <w:bookmarkStart w:name="z135" w:id="12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6"/>
    <w:bookmarkStart w:name="z136" w:id="12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7"/>
    <w:bookmarkStart w:name="z137" w:id="12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8"/>
    <w:bookmarkStart w:name="z138" w:id="129"/>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bookmarkEnd w:id="129"/>
    <w:bookmarkStart w:name="z139" w:id="130"/>
    <w:p>
      <w:pPr>
        <w:spacing w:after="0"/>
        <w:ind w:left="0"/>
        <w:jc w:val="both"/>
      </w:pPr>
      <w:r>
        <w:rPr>
          <w:rFonts w:ascii="Times New Roman"/>
          <w:b w:val="false"/>
          <w:i w:val="false"/>
          <w:color w:val="000000"/>
          <w:sz w:val="28"/>
        </w:rPr>
        <w:t>
      30-12. Требования к ЕРЦ:</w:t>
      </w:r>
    </w:p>
    <w:bookmarkEnd w:id="130"/>
    <w:bookmarkStart w:name="z140" w:id="131"/>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1"/>
    <w:bookmarkStart w:name="z141" w:id="132"/>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2"/>
    <w:bookmarkStart w:name="z142" w:id="133"/>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3"/>
    <w:bookmarkStart w:name="z143" w:id="134"/>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4"/>
    <w:bookmarkStart w:name="z144"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145" w:id="136"/>
    <w:p>
      <w:pPr>
        <w:spacing w:after="0"/>
        <w:ind w:left="0"/>
        <w:jc w:val="both"/>
      </w:pPr>
      <w:r>
        <w:rPr>
          <w:rFonts w:ascii="Times New Roman"/>
          <w:b w:val="false"/>
          <w:i w:val="false"/>
          <w:color w:val="000000"/>
          <w:sz w:val="28"/>
        </w:rPr>
        <w:t>
      30-13. Функции ЕРЦ:</w:t>
      </w:r>
    </w:p>
    <w:bookmarkEnd w:id="136"/>
    <w:bookmarkStart w:name="z146"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147"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148"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149" w:id="140"/>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0"/>
    <w:bookmarkStart w:name="z150" w:id="141"/>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1"/>
    <w:bookmarkStart w:name="z151" w:id="142"/>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2"/>
    <w:bookmarkStart w:name="z152" w:id="143"/>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3"/>
    <w:bookmarkStart w:name="z153" w:id="144"/>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4"/>
    <w:bookmarkStart w:name="z154" w:id="145"/>
    <w:p>
      <w:pPr>
        <w:spacing w:after="0"/>
        <w:ind w:left="0"/>
        <w:jc w:val="both"/>
      </w:pPr>
      <w:r>
        <w:rPr>
          <w:rFonts w:ascii="Times New Roman"/>
          <w:b w:val="false"/>
          <w:i w:val="false"/>
          <w:color w:val="000000"/>
          <w:sz w:val="28"/>
        </w:rPr>
        <w:t>
      30-14. Оценка результативности деятельности ЕРЦ:</w:t>
      </w:r>
    </w:p>
    <w:bookmarkEnd w:id="145"/>
    <w:bookmarkStart w:name="z155"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156"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157" w:id="148"/>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8"/>
    <w:bookmarkStart w:name="z158" w:id="149"/>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9"/>
    <w:bookmarkStart w:name="z159" w:id="150"/>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0"/>
    <w:bookmarkStart w:name="z160" w:id="151"/>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1"/>
    <w:bookmarkStart w:name="z161" w:id="152"/>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2"/>
    <w:bookmarkStart w:name="z162" w:id="153"/>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163" w:id="154"/>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4"/>
    <w:bookmarkStart w:name="z164"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165"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166"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67" w:id="158"/>
    <w:p>
      <w:pPr>
        <w:spacing w:after="0"/>
        <w:ind w:left="0"/>
        <w:jc w:val="left"/>
      </w:pPr>
      <w:r>
        <w:rPr>
          <w:rFonts w:ascii="Times New Roman"/>
          <w:b/>
          <w:i w:val="false"/>
          <w:color w:val="000000"/>
        </w:rPr>
        <w:t xml:space="preserve"> Глава 5. Порядок разрешения разногласий</w:t>
      </w:r>
    </w:p>
    <w:bookmarkEnd w:id="158"/>
    <w:bookmarkStart w:name="z168" w:id="159"/>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9"/>
    <w:bookmarkStart w:name="z169" w:id="160"/>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0"/>
    <w:bookmarkStart w:name="z170" w:id="16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1"/>
    <w:bookmarkStart w:name="z171" w:id="16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2"/>
    <w:bookmarkStart w:name="z172" w:id="163"/>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3"/>
    <w:bookmarkStart w:name="z173" w:id="16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4"/>
    <w:bookmarkStart w:name="z174" w:id="165"/>
    <w:p>
      <w:pPr>
        <w:spacing w:after="0"/>
        <w:ind w:left="0"/>
        <w:jc w:val="both"/>
      </w:pPr>
      <w:r>
        <w:rPr>
          <w:rFonts w:ascii="Times New Roman"/>
          <w:b w:val="false"/>
          <w:i w:val="false"/>
          <w:color w:val="000000"/>
          <w:sz w:val="28"/>
        </w:rPr>
        <w:t>
      2) характер ухудшения качества коммунальных услуг;</w:t>
      </w:r>
    </w:p>
    <w:bookmarkEnd w:id="165"/>
    <w:bookmarkStart w:name="z175" w:id="16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6"/>
    <w:bookmarkStart w:name="z176" w:id="16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7"/>
    <w:bookmarkStart w:name="z177" w:id="16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8"/>
    <w:bookmarkStart w:name="z178" w:id="16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9"/>
    <w:bookmarkStart w:name="z179" w:id="17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0"/>
    <w:bookmarkStart w:name="z180" w:id="17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1"/>
    <w:bookmarkStart w:name="z181" w:id="17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2"/>
    <w:bookmarkStart w:name="z182" w:id="17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3"/>
    <w:bookmarkStart w:name="z183" w:id="17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4"/>
    <w:bookmarkStart w:name="z184" w:id="17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5"/>
    <w:bookmarkStart w:name="z185" w:id="176"/>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направляет потребителю досудебную претензию с обоснованием суммы доплаты.</w:t>
      </w:r>
    </w:p>
    <w:bookmarkEnd w:id="176"/>
    <w:bookmarkStart w:name="z186" w:id="17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7"/>
    <w:bookmarkStart w:name="z187" w:id="178"/>
    <w:p>
      <w:pPr>
        <w:spacing w:after="0"/>
        <w:ind w:left="0"/>
        <w:jc w:val="left"/>
      </w:pPr>
      <w:r>
        <w:rPr>
          <w:rFonts w:ascii="Times New Roman"/>
          <w:b/>
          <w:i w:val="false"/>
          <w:color w:val="000000"/>
        </w:rPr>
        <w:t xml:space="preserve"> Глава 6. Заключительные положения</w:t>
      </w:r>
    </w:p>
    <w:bookmarkEnd w:id="178"/>
    <w:bookmarkStart w:name="z188" w:id="179"/>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9"/>
    <w:bookmarkStart w:name="z189" w:id="180"/>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0"/>
    <w:bookmarkStart w:name="z190" w:id="18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193" w:id="182"/>
    <w:p>
      <w:pPr>
        <w:spacing w:after="0"/>
        <w:ind w:left="0"/>
        <w:jc w:val="left"/>
      </w:pPr>
      <w:r>
        <w:rPr>
          <w:rFonts w:ascii="Times New Roman"/>
          <w:b/>
          <w:i w:val="false"/>
          <w:color w:val="000000"/>
        </w:rPr>
        <w:t xml:space="preserve"> Біріңғай төлем құжаты/Единый платежный документ</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94" w:id="183"/>
    <w:p>
      <w:pPr>
        <w:spacing w:after="0"/>
        <w:ind w:left="0"/>
        <w:jc w:val="both"/>
      </w:pPr>
      <w:r>
        <w:rPr>
          <w:rFonts w:ascii="Times New Roman"/>
          <w:b w:val="false"/>
          <w:i w:val="false"/>
          <w:color w:val="000000"/>
          <w:sz w:val="28"/>
        </w:rPr>
        <w:t>
      Төлеу мерзімі "____" жыл/Срок оплаты "____" года</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