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b00c" w14:textId="51bb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ноября 2023 года № 98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28 апреля 2026 года № 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17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10091)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год)", осуществляется с месяца обращения.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виде денежной помощи, на оперативное лечение, без учета доходов, единовременно, в размере не более 50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в виде денежной помощи, для возмещения расходов, связанных с приобретением лекарственных средств, без учета доходов, 1 раз в год, в размере фактических затрат, не более 30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10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реабилитации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8),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