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ba46" w14:textId="8d3b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декабря 2023 года № 62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апреля 2026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10133-10)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связи с причинением ущерба гражданину (семье) либо его имуществу при ликвидации последствия пожара, без учета доходов, единовременно, в размере 50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15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